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FCA04" w14:textId="77777777" w:rsidR="00DD6B5E" w:rsidRPr="00D24685" w:rsidRDefault="003129E8" w:rsidP="00DD6B5E">
      <w:pPr>
        <w:jc w:val="right"/>
        <w:rPr>
          <w:rFonts w:cs="Arial"/>
          <w:b/>
          <w:color w:val="000000" w:themeColor="text1"/>
          <w:sz w:val="48"/>
          <w:szCs w:val="48"/>
        </w:rPr>
      </w:pPr>
      <w:bookmarkStart w:id="0" w:name="_Toc153189646"/>
      <w:r w:rsidRPr="00D24685">
        <w:rPr>
          <w:rFonts w:cs="Arial"/>
          <w:b/>
          <w:color w:val="000000" w:themeColor="text1"/>
          <w:sz w:val="48"/>
          <w:szCs w:val="48"/>
        </w:rPr>
        <w:t xml:space="preserve">Work Paper </w:t>
      </w:r>
      <w:bookmarkEnd w:id="0"/>
      <w:r w:rsidR="00C80128">
        <w:rPr>
          <w:rFonts w:cs="Arial"/>
          <w:b/>
          <w:color w:val="000000" w:themeColor="text1"/>
          <w:sz w:val="48"/>
          <w:szCs w:val="48"/>
        </w:rPr>
        <w:t>PGE</w:t>
      </w:r>
      <w:r w:rsidR="00D24685" w:rsidRPr="00D24685">
        <w:rPr>
          <w:rFonts w:cs="Arial"/>
          <w:b/>
          <w:color w:val="000000" w:themeColor="text1"/>
          <w:sz w:val="48"/>
          <w:szCs w:val="48"/>
        </w:rPr>
        <w:t>CO</w:t>
      </w:r>
      <w:r w:rsidR="00552F15">
        <w:rPr>
          <w:rFonts w:cs="Arial"/>
          <w:b/>
          <w:color w:val="000000" w:themeColor="text1"/>
          <w:sz w:val="48"/>
          <w:szCs w:val="48"/>
        </w:rPr>
        <w:t>DHW</w:t>
      </w:r>
      <w:r w:rsidR="00C80128">
        <w:rPr>
          <w:rFonts w:cs="Arial"/>
          <w:b/>
          <w:color w:val="000000" w:themeColor="text1"/>
          <w:sz w:val="48"/>
          <w:szCs w:val="48"/>
        </w:rPr>
        <w:t>115</w:t>
      </w:r>
    </w:p>
    <w:p w14:paraId="7DEFCA05" w14:textId="77777777" w:rsidR="00A167EC" w:rsidRPr="00D24685" w:rsidRDefault="00D24685" w:rsidP="00A167EC">
      <w:pPr>
        <w:jc w:val="right"/>
        <w:rPr>
          <w:rFonts w:cs="Arial"/>
          <w:b/>
          <w:color w:val="000000" w:themeColor="text1"/>
          <w:sz w:val="48"/>
          <w:szCs w:val="48"/>
        </w:rPr>
      </w:pPr>
      <w:r w:rsidRPr="00D24685">
        <w:rPr>
          <w:rFonts w:cs="Arial"/>
          <w:b/>
          <w:color w:val="000000" w:themeColor="text1"/>
          <w:sz w:val="48"/>
          <w:szCs w:val="48"/>
        </w:rPr>
        <w:t>Boiler Controller</w:t>
      </w:r>
    </w:p>
    <w:p w14:paraId="7DEFCA06" w14:textId="43FA1F6D" w:rsidR="003129E8" w:rsidRPr="00D24685" w:rsidRDefault="003129E8" w:rsidP="002E0043">
      <w:pPr>
        <w:jc w:val="right"/>
        <w:rPr>
          <w:rFonts w:cs="Arial"/>
          <w:b/>
          <w:color w:val="000000" w:themeColor="text1"/>
          <w:sz w:val="48"/>
          <w:szCs w:val="48"/>
        </w:rPr>
      </w:pPr>
      <w:bookmarkStart w:id="1" w:name="_Toc153189647"/>
      <w:r w:rsidRPr="00D24685">
        <w:rPr>
          <w:rFonts w:cs="Arial"/>
          <w:b/>
          <w:color w:val="000000" w:themeColor="text1"/>
          <w:sz w:val="48"/>
          <w:szCs w:val="48"/>
        </w:rPr>
        <w:t>Rev</w:t>
      </w:r>
      <w:bookmarkEnd w:id="1"/>
      <w:r w:rsidR="00DD5BA2">
        <w:rPr>
          <w:rFonts w:cs="Arial"/>
          <w:b/>
          <w:color w:val="000000" w:themeColor="text1"/>
          <w:sz w:val="48"/>
          <w:szCs w:val="48"/>
        </w:rPr>
        <w:t>ision #</w:t>
      </w:r>
      <w:r w:rsidR="002E2367">
        <w:rPr>
          <w:rFonts w:cs="Arial"/>
          <w:b/>
          <w:color w:val="000000" w:themeColor="text1"/>
          <w:sz w:val="48"/>
          <w:szCs w:val="48"/>
        </w:rPr>
        <w:t>4</w:t>
      </w:r>
    </w:p>
    <w:p w14:paraId="7DEFCA07" w14:textId="77777777" w:rsidR="003129E8" w:rsidRPr="00D24685" w:rsidRDefault="003129E8" w:rsidP="003129E8">
      <w:pPr>
        <w:rPr>
          <w:color w:val="000000" w:themeColor="text1"/>
        </w:rPr>
      </w:pPr>
    </w:p>
    <w:p w14:paraId="7DEFCA08" w14:textId="77777777" w:rsidR="00D7047A" w:rsidRPr="00D24685" w:rsidRDefault="00DD6B5E" w:rsidP="00D7047A">
      <w:pPr>
        <w:pBdr>
          <w:bottom w:val="single" w:sz="4" w:space="1" w:color="auto"/>
        </w:pBdr>
        <w:rPr>
          <w:rFonts w:cs="Arial"/>
          <w:b/>
          <w:color w:val="000000" w:themeColor="text1"/>
          <w:sz w:val="36"/>
          <w:szCs w:val="36"/>
        </w:rPr>
      </w:pPr>
      <w:r w:rsidRPr="00D24685">
        <w:rPr>
          <w:rFonts w:cs="Arial"/>
          <w:b/>
          <w:color w:val="000000" w:themeColor="text1"/>
          <w:sz w:val="36"/>
          <w:szCs w:val="36"/>
        </w:rPr>
        <w:t>Pacific Gas &amp; Electric</w:t>
      </w:r>
      <w:r w:rsidR="00DF21B8" w:rsidRPr="00D24685">
        <w:rPr>
          <w:rFonts w:cs="Arial"/>
          <w:b/>
          <w:color w:val="000000" w:themeColor="text1"/>
          <w:sz w:val="36"/>
          <w:szCs w:val="36"/>
        </w:rPr>
        <w:t xml:space="preserve"> Company</w:t>
      </w:r>
    </w:p>
    <w:p w14:paraId="7DEFCA09" w14:textId="7F2E7C14" w:rsidR="00D7047A" w:rsidRPr="00D24685" w:rsidRDefault="00661864" w:rsidP="00D7047A">
      <w:pPr>
        <w:rPr>
          <w:rFonts w:cs="Arial"/>
          <w:b/>
          <w:color w:val="000000" w:themeColor="text1"/>
          <w:sz w:val="32"/>
          <w:szCs w:val="32"/>
        </w:rPr>
      </w:pPr>
      <w:r w:rsidRPr="00D24685">
        <w:rPr>
          <w:rFonts w:cs="Arial"/>
          <w:b/>
          <w:color w:val="000000" w:themeColor="text1"/>
          <w:sz w:val="32"/>
          <w:szCs w:val="32"/>
        </w:rPr>
        <w:t>Customer Energy Solutions</w:t>
      </w:r>
    </w:p>
    <w:p w14:paraId="7DEFCA0A" w14:textId="77777777" w:rsidR="00E34E73" w:rsidRPr="00D24685" w:rsidRDefault="00E34E73" w:rsidP="00324D0F">
      <w:pPr>
        <w:rPr>
          <w:rFonts w:cs="Arial"/>
          <w:b/>
          <w:color w:val="000000" w:themeColor="text1"/>
          <w:highlight w:val="cyan"/>
        </w:rPr>
      </w:pPr>
    </w:p>
    <w:p w14:paraId="7DEFCA0B" w14:textId="77777777" w:rsidR="00D24685" w:rsidRPr="00D24685" w:rsidRDefault="00D24685" w:rsidP="00324D0F">
      <w:pPr>
        <w:rPr>
          <w:rFonts w:cs="Arial"/>
          <w:b/>
          <w:color w:val="000000" w:themeColor="text1"/>
          <w:highlight w:val="cyan"/>
        </w:rPr>
      </w:pPr>
    </w:p>
    <w:p w14:paraId="7DEFCA0C" w14:textId="77777777" w:rsidR="00D24685" w:rsidRPr="00D24685" w:rsidRDefault="00D24685" w:rsidP="00324D0F">
      <w:pPr>
        <w:rPr>
          <w:rFonts w:cs="Arial"/>
          <w:b/>
          <w:color w:val="000000" w:themeColor="text1"/>
          <w:highlight w:val="cyan"/>
        </w:rPr>
      </w:pPr>
    </w:p>
    <w:p w14:paraId="7DEFCA0D" w14:textId="77777777" w:rsidR="00D24685" w:rsidRPr="00D24685" w:rsidRDefault="00D24685" w:rsidP="00324D0F">
      <w:pPr>
        <w:rPr>
          <w:rFonts w:cs="Arial"/>
          <w:b/>
          <w:color w:val="000000" w:themeColor="text1"/>
          <w:highlight w:val="cyan"/>
        </w:rPr>
      </w:pPr>
    </w:p>
    <w:p w14:paraId="7DEFCA0E" w14:textId="77777777" w:rsidR="00D24685" w:rsidRPr="00D24685" w:rsidRDefault="00D24685" w:rsidP="00324D0F">
      <w:pPr>
        <w:rPr>
          <w:rFonts w:cs="Arial"/>
          <w:b/>
          <w:color w:val="000000" w:themeColor="text1"/>
          <w:highlight w:val="cyan"/>
        </w:rPr>
      </w:pPr>
    </w:p>
    <w:p w14:paraId="7DEFCA0F" w14:textId="77777777" w:rsidR="00D24685" w:rsidRDefault="00D24685" w:rsidP="00324D0F">
      <w:pPr>
        <w:rPr>
          <w:rFonts w:cs="Arial"/>
          <w:b/>
          <w:color w:val="000000" w:themeColor="text1"/>
          <w:highlight w:val="cyan"/>
        </w:rPr>
      </w:pPr>
    </w:p>
    <w:p w14:paraId="7DEFCA10" w14:textId="77777777" w:rsidR="00D24685" w:rsidRPr="00D24685" w:rsidRDefault="00D24685" w:rsidP="00324D0F">
      <w:pPr>
        <w:rPr>
          <w:rFonts w:cs="Arial"/>
          <w:b/>
          <w:color w:val="000000" w:themeColor="text1"/>
          <w:highlight w:val="cyan"/>
        </w:rPr>
      </w:pPr>
    </w:p>
    <w:p w14:paraId="7DEFCA11" w14:textId="77777777" w:rsidR="00D24685" w:rsidRPr="00D24685" w:rsidRDefault="00D24685" w:rsidP="00324D0F">
      <w:pPr>
        <w:rPr>
          <w:rFonts w:cs="Arial"/>
          <w:b/>
          <w:color w:val="000000" w:themeColor="text1"/>
          <w:highlight w:val="cyan"/>
        </w:rPr>
      </w:pPr>
    </w:p>
    <w:p w14:paraId="7DEFCA12" w14:textId="77777777" w:rsidR="00D24685" w:rsidRPr="00D24685" w:rsidRDefault="00D24685" w:rsidP="00324D0F">
      <w:pPr>
        <w:rPr>
          <w:rFonts w:cs="Arial"/>
          <w:b/>
          <w:color w:val="000000" w:themeColor="text1"/>
          <w:highlight w:val="cyan"/>
        </w:rPr>
      </w:pPr>
    </w:p>
    <w:p w14:paraId="7DEFCA13" w14:textId="77777777" w:rsidR="00D24685" w:rsidRPr="00D24685" w:rsidRDefault="00D24685" w:rsidP="00324D0F">
      <w:pPr>
        <w:rPr>
          <w:rFonts w:cs="Arial"/>
          <w:b/>
          <w:color w:val="000000" w:themeColor="text1"/>
          <w:highlight w:val="cyan"/>
        </w:rPr>
      </w:pPr>
    </w:p>
    <w:p w14:paraId="7DEFCA14" w14:textId="77777777" w:rsidR="00C274E0" w:rsidRPr="00D24685" w:rsidRDefault="00C274E0" w:rsidP="00324D0F">
      <w:pPr>
        <w:rPr>
          <w:rFonts w:cs="Arial"/>
          <w:b/>
          <w:color w:val="000000" w:themeColor="text1"/>
          <w:highlight w:val="cyan"/>
        </w:rPr>
      </w:pPr>
    </w:p>
    <w:p w14:paraId="7DEFCA15" w14:textId="69AF2515" w:rsidR="00324D0F" w:rsidRPr="00D24685" w:rsidRDefault="00D24685" w:rsidP="00A167EC">
      <w:pPr>
        <w:ind w:right="-720"/>
        <w:rPr>
          <w:rFonts w:cs="Arial"/>
          <w:b/>
          <w:color w:val="000000" w:themeColor="text1"/>
          <w:sz w:val="72"/>
          <w:szCs w:val="72"/>
        </w:rPr>
      </w:pPr>
      <w:r w:rsidRPr="00D24685">
        <w:rPr>
          <w:rFonts w:cs="Arial"/>
          <w:b/>
          <w:color w:val="000000" w:themeColor="text1"/>
          <w:sz w:val="72"/>
          <w:szCs w:val="72"/>
        </w:rPr>
        <w:t>Boiler Controller</w:t>
      </w:r>
    </w:p>
    <w:p w14:paraId="7DEFCA16" w14:textId="3842CFDB" w:rsidR="00B421F2" w:rsidRPr="00D24685" w:rsidRDefault="00A167EC" w:rsidP="002D4621">
      <w:pPr>
        <w:ind w:right="-720"/>
        <w:rPr>
          <w:rFonts w:cs="Arial"/>
          <w:b/>
          <w:color w:val="000000" w:themeColor="text1"/>
        </w:rPr>
      </w:pPr>
      <w:r w:rsidRPr="00D24685">
        <w:rPr>
          <w:rFonts w:cs="Arial"/>
          <w:b/>
          <w:color w:val="000000" w:themeColor="text1"/>
        </w:rPr>
        <w:t>Measure Codes</w:t>
      </w:r>
      <w:r w:rsidR="00C80128">
        <w:rPr>
          <w:rFonts w:cs="Arial"/>
          <w:b/>
          <w:color w:val="000000" w:themeColor="text1"/>
        </w:rPr>
        <w:t>:</w:t>
      </w:r>
      <w:r w:rsidRPr="00D24685">
        <w:rPr>
          <w:rFonts w:cs="Arial"/>
          <w:b/>
          <w:color w:val="000000" w:themeColor="text1"/>
        </w:rPr>
        <w:t xml:space="preserve"> </w:t>
      </w:r>
      <w:r w:rsidR="00635B9F">
        <w:rPr>
          <w:rFonts w:cs="Arial"/>
          <w:b/>
          <w:color w:val="000000" w:themeColor="text1"/>
        </w:rPr>
        <w:t>HA10</w:t>
      </w:r>
      <w:r w:rsidR="002A6150">
        <w:rPr>
          <w:rFonts w:cs="Arial"/>
          <w:b/>
          <w:color w:val="000000" w:themeColor="text1"/>
        </w:rPr>
        <w:t xml:space="preserve">, </w:t>
      </w:r>
      <w:r w:rsidR="00635B9F">
        <w:rPr>
          <w:rFonts w:cs="Arial"/>
          <w:b/>
          <w:color w:val="000000" w:themeColor="text1"/>
        </w:rPr>
        <w:t>HA13</w:t>
      </w:r>
    </w:p>
    <w:p w14:paraId="7DEFCA17" w14:textId="77777777" w:rsidR="00CB3583" w:rsidRPr="00D24685" w:rsidRDefault="00CB3583" w:rsidP="002E0043">
      <w:pPr>
        <w:rPr>
          <w:rFonts w:cs="Arial"/>
          <w:b/>
          <w:i/>
          <w:color w:val="000000" w:themeColor="text1"/>
          <w:highlight w:val="cyan"/>
        </w:rPr>
      </w:pPr>
    </w:p>
    <w:p w14:paraId="7DEFCA18" w14:textId="77777777" w:rsidR="003D3F36" w:rsidRPr="00D24685" w:rsidRDefault="003D3F36" w:rsidP="00844B27">
      <w:pPr>
        <w:rPr>
          <w:rFonts w:cs="Arial"/>
          <w:b/>
          <w:i/>
          <w:color w:val="000000" w:themeColor="text1"/>
          <w:highlight w:val="cyan"/>
        </w:rPr>
      </w:pPr>
    </w:p>
    <w:p w14:paraId="7DEFCA19" w14:textId="77777777" w:rsidR="00C274E0" w:rsidRPr="00D24685" w:rsidRDefault="00C274E0" w:rsidP="00844B27">
      <w:pPr>
        <w:rPr>
          <w:rFonts w:cs="Arial"/>
          <w:b/>
          <w:i/>
          <w:color w:val="000000" w:themeColor="text1"/>
        </w:rPr>
      </w:pPr>
    </w:p>
    <w:p w14:paraId="7DEFCA1A" w14:textId="77777777" w:rsidR="00C274E0" w:rsidRDefault="00C274E0" w:rsidP="00844B27">
      <w:pPr>
        <w:rPr>
          <w:rFonts w:cs="Arial"/>
          <w:b/>
          <w:i/>
          <w:color w:val="000000" w:themeColor="text1"/>
        </w:rPr>
      </w:pPr>
    </w:p>
    <w:p w14:paraId="7DEFCA1B" w14:textId="77777777" w:rsidR="00A5517C" w:rsidRDefault="00A5517C" w:rsidP="00844B27">
      <w:pPr>
        <w:rPr>
          <w:rFonts w:cs="Arial"/>
          <w:b/>
          <w:i/>
          <w:color w:val="000000" w:themeColor="text1"/>
        </w:rPr>
      </w:pPr>
    </w:p>
    <w:p w14:paraId="7DEFCA1C" w14:textId="77777777" w:rsidR="00A5517C" w:rsidRDefault="00A5517C" w:rsidP="00844B27">
      <w:pPr>
        <w:rPr>
          <w:rFonts w:cs="Arial"/>
          <w:b/>
          <w:i/>
          <w:color w:val="000000" w:themeColor="text1"/>
        </w:rPr>
      </w:pPr>
    </w:p>
    <w:p w14:paraId="7DEFCA1D" w14:textId="77777777" w:rsidR="00A5517C" w:rsidRDefault="00A5517C" w:rsidP="00844B27">
      <w:pPr>
        <w:rPr>
          <w:rFonts w:cs="Arial"/>
          <w:b/>
          <w:i/>
          <w:color w:val="000000" w:themeColor="text1"/>
        </w:rPr>
      </w:pPr>
    </w:p>
    <w:p w14:paraId="7DEFCA1E" w14:textId="77777777" w:rsidR="00A5517C" w:rsidRPr="00D24685" w:rsidRDefault="00A5517C" w:rsidP="00844B27">
      <w:pPr>
        <w:rPr>
          <w:rFonts w:cs="Arial"/>
          <w:b/>
          <w:i/>
          <w:color w:val="000000" w:themeColor="text1"/>
        </w:rPr>
      </w:pPr>
    </w:p>
    <w:p w14:paraId="7DEFCA1F" w14:textId="77777777" w:rsidR="00534386" w:rsidRPr="00D24685" w:rsidRDefault="00534386" w:rsidP="00844B27">
      <w:pPr>
        <w:rPr>
          <w:rFonts w:cs="Arial"/>
          <w:b/>
          <w:i/>
          <w:color w:val="000000" w:themeColor="text1"/>
        </w:rPr>
        <w:sectPr w:rsidR="00534386" w:rsidRPr="00D24685"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7DEFCA20" w14:textId="77777777" w:rsidR="00E71EF1" w:rsidRPr="00CC64B9" w:rsidRDefault="00E731C6" w:rsidP="00E71EF1">
      <w:pPr>
        <w:pStyle w:val="Heading1"/>
      </w:pPr>
      <w:bookmarkStart w:id="2" w:name="_Toc304800192"/>
      <w:bookmarkStart w:id="3" w:name="_Toc324318330"/>
      <w:bookmarkStart w:id="4" w:name="_Toc324340474"/>
      <w:bookmarkStart w:id="5" w:name="_Toc481419678"/>
      <w:r w:rsidRPr="00CC64B9">
        <w:lastRenderedPageBreak/>
        <w:t>At-</w:t>
      </w:r>
      <w:r w:rsidR="00E71EF1" w:rsidRPr="00CC64B9">
        <w:t>a</w:t>
      </w:r>
      <w:r w:rsidRPr="00CC64B9">
        <w:t>-</w:t>
      </w:r>
      <w:r w:rsidR="00E71EF1" w:rsidRPr="00CC64B9">
        <w:t>Glance Summary</w:t>
      </w:r>
      <w:bookmarkEnd w:id="2"/>
      <w:bookmarkEnd w:id="3"/>
      <w:bookmarkEnd w:id="4"/>
      <w:bookmarkEnd w:id="5"/>
    </w:p>
    <w:tbl>
      <w:tblPr>
        <w:tblStyle w:val="PGEWorkPaper"/>
        <w:tblW w:w="0" w:type="auto"/>
        <w:tblLook w:val="01E0" w:firstRow="1" w:lastRow="1" w:firstColumn="1" w:lastColumn="1" w:noHBand="0" w:noVBand="0"/>
      </w:tblPr>
      <w:tblGrid>
        <w:gridCol w:w="1883"/>
        <w:gridCol w:w="7693"/>
      </w:tblGrid>
      <w:tr w:rsidR="00324660" w:rsidRPr="009E134B" w14:paraId="7DEFCA23" w14:textId="77777777" w:rsidTr="008850B0">
        <w:trPr>
          <w:cnfStyle w:val="100000000000" w:firstRow="1" w:lastRow="0" w:firstColumn="0" w:lastColumn="0" w:oddVBand="0" w:evenVBand="0" w:oddHBand="0" w:evenHBand="0" w:firstRowFirstColumn="0" w:firstRowLastColumn="0" w:lastRowFirstColumn="0" w:lastRowLastColumn="0"/>
          <w:trHeight w:val="465"/>
        </w:trPr>
        <w:tc>
          <w:tcPr>
            <w:tcW w:w="0" w:type="auto"/>
          </w:tcPr>
          <w:p w14:paraId="7DEFCA21" w14:textId="77777777" w:rsidR="00324660" w:rsidRPr="009E134B" w:rsidRDefault="0074683B" w:rsidP="00F06833">
            <w:pPr>
              <w:rPr>
                <w:rStyle w:val="Strong"/>
                <w:rFonts w:cs="Arial"/>
                <w:b/>
                <w:sz w:val="20"/>
                <w:szCs w:val="20"/>
              </w:rPr>
            </w:pPr>
            <w:r w:rsidRPr="009E134B">
              <w:rPr>
                <w:rStyle w:val="Strong"/>
                <w:rFonts w:cs="Arial"/>
                <w:b/>
                <w:sz w:val="20"/>
                <w:szCs w:val="20"/>
              </w:rPr>
              <w:t>Applicable Measure Codes</w:t>
            </w:r>
          </w:p>
        </w:tc>
        <w:tc>
          <w:tcPr>
            <w:tcW w:w="0" w:type="auto"/>
          </w:tcPr>
          <w:p w14:paraId="7DEFCA22" w14:textId="46A2F760" w:rsidR="00324660" w:rsidRPr="009E134B" w:rsidRDefault="00112126" w:rsidP="00F06833">
            <w:pPr>
              <w:rPr>
                <w:rFonts w:cs="Arial"/>
                <w:sz w:val="20"/>
                <w:szCs w:val="20"/>
              </w:rPr>
            </w:pPr>
            <w:r>
              <w:rPr>
                <w:rFonts w:cs="Arial"/>
                <w:bCs w:val="0"/>
                <w:sz w:val="20"/>
                <w:szCs w:val="20"/>
              </w:rPr>
              <w:t>HA10</w:t>
            </w:r>
            <w:r w:rsidR="002A6150" w:rsidRPr="002A6150">
              <w:rPr>
                <w:rFonts w:cs="Arial"/>
                <w:bCs w:val="0"/>
                <w:sz w:val="20"/>
                <w:szCs w:val="20"/>
              </w:rPr>
              <w:t xml:space="preserve">, </w:t>
            </w:r>
            <w:r w:rsidR="00635B9F">
              <w:rPr>
                <w:rFonts w:cs="Arial"/>
                <w:bCs w:val="0"/>
                <w:sz w:val="20"/>
                <w:szCs w:val="20"/>
              </w:rPr>
              <w:t>HA</w:t>
            </w:r>
            <w:r>
              <w:rPr>
                <w:rFonts w:cs="Arial"/>
                <w:bCs w:val="0"/>
                <w:sz w:val="20"/>
                <w:szCs w:val="20"/>
              </w:rPr>
              <w:t>13</w:t>
            </w:r>
          </w:p>
        </w:tc>
      </w:tr>
      <w:tr w:rsidR="000571F6" w:rsidRPr="00CC64B9" w14:paraId="7DEFCA26"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24" w14:textId="77777777" w:rsidR="000571F6" w:rsidRPr="00CC64B9" w:rsidRDefault="00C63D95" w:rsidP="00F06833">
            <w:pPr>
              <w:rPr>
                <w:rStyle w:val="Strong"/>
                <w:rFonts w:cs="Arial"/>
                <w:sz w:val="20"/>
                <w:szCs w:val="20"/>
              </w:rPr>
            </w:pPr>
            <w:r w:rsidRPr="00CC64B9">
              <w:rPr>
                <w:rStyle w:val="Strong"/>
                <w:rFonts w:cs="Arial"/>
                <w:sz w:val="20"/>
                <w:szCs w:val="20"/>
              </w:rPr>
              <w:t>Measure Description</w:t>
            </w:r>
          </w:p>
        </w:tc>
        <w:tc>
          <w:tcPr>
            <w:tcW w:w="0" w:type="auto"/>
          </w:tcPr>
          <w:p w14:paraId="7DEFCA25" w14:textId="7438B41E" w:rsidR="000571F6" w:rsidRPr="00CC64B9" w:rsidRDefault="000B274A" w:rsidP="000736D9">
            <w:pPr>
              <w:rPr>
                <w:rFonts w:cs="Arial"/>
                <w:sz w:val="20"/>
                <w:szCs w:val="20"/>
              </w:rPr>
            </w:pPr>
            <w:r w:rsidRPr="00CC64B9">
              <w:rPr>
                <w:rFonts w:cs="Arial"/>
                <w:sz w:val="20"/>
                <w:szCs w:val="20"/>
              </w:rPr>
              <w:t xml:space="preserve">This </w:t>
            </w:r>
            <w:proofErr w:type="spellStart"/>
            <w:r w:rsidRPr="00CC64B9">
              <w:rPr>
                <w:rFonts w:cs="Arial"/>
                <w:sz w:val="20"/>
                <w:szCs w:val="20"/>
              </w:rPr>
              <w:t>workpaper</w:t>
            </w:r>
            <w:proofErr w:type="spellEnd"/>
            <w:r w:rsidRPr="00CC64B9">
              <w:rPr>
                <w:rFonts w:cs="Arial"/>
                <w:sz w:val="20"/>
                <w:szCs w:val="20"/>
              </w:rPr>
              <w:t xml:space="preserve"> for qualifying multifamily and lodging facilities in the PG&amp;E gas service area covers the retrofit of a new “temperature modulation” boiler controller in the central water heating system for minimizing the supply &amp; return water temperatures and piping heat losses.  Some multifamily or lodging facilities may require more than one boiler controller.  The total gas savings and total rebate amount</w:t>
            </w:r>
            <w:r w:rsidR="004634DD">
              <w:rPr>
                <w:rFonts w:cs="Arial"/>
                <w:sz w:val="20"/>
                <w:szCs w:val="20"/>
              </w:rPr>
              <w:t>s are</w:t>
            </w:r>
            <w:r w:rsidRPr="00CC64B9">
              <w:rPr>
                <w:rFonts w:cs="Arial"/>
                <w:sz w:val="20"/>
                <w:szCs w:val="20"/>
              </w:rPr>
              <w:t xml:space="preserve"> based on the number of multifamily dwelling units or lodging guest rooms controlled by the new boiler controller or controllers.</w:t>
            </w:r>
          </w:p>
        </w:tc>
      </w:tr>
      <w:tr w:rsidR="000571F6" w:rsidRPr="00CC64B9" w14:paraId="7DEFCA29"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27" w14:textId="77777777" w:rsidR="000571F6" w:rsidRPr="00CC64B9" w:rsidRDefault="00721C75" w:rsidP="00F06833">
            <w:pPr>
              <w:rPr>
                <w:rStyle w:val="Strong"/>
                <w:rFonts w:cs="Arial"/>
                <w:sz w:val="20"/>
                <w:szCs w:val="20"/>
              </w:rPr>
            </w:pPr>
            <w:r w:rsidRPr="00CC64B9">
              <w:rPr>
                <w:rStyle w:val="Strong"/>
                <w:rFonts w:cs="Arial"/>
                <w:sz w:val="20"/>
                <w:szCs w:val="20"/>
              </w:rPr>
              <w:t>Energy Impact</w:t>
            </w:r>
            <w:r w:rsidR="00C218AD" w:rsidRPr="00CC64B9">
              <w:rPr>
                <w:rStyle w:val="Strong"/>
                <w:rFonts w:cs="Arial"/>
                <w:sz w:val="20"/>
                <w:szCs w:val="20"/>
              </w:rPr>
              <w:t xml:space="preserve"> Common Units</w:t>
            </w:r>
          </w:p>
        </w:tc>
        <w:tc>
          <w:tcPr>
            <w:tcW w:w="0" w:type="auto"/>
          </w:tcPr>
          <w:p w14:paraId="7DEFCA28" w14:textId="77777777" w:rsidR="000571F6" w:rsidRPr="00CC64B9" w:rsidRDefault="0040101A" w:rsidP="00F06833">
            <w:pPr>
              <w:rPr>
                <w:rFonts w:cs="Arial"/>
                <w:sz w:val="20"/>
                <w:szCs w:val="20"/>
              </w:rPr>
            </w:pPr>
            <w:proofErr w:type="spellStart"/>
            <w:r w:rsidRPr="00CC64B9">
              <w:rPr>
                <w:rFonts w:cs="Arial"/>
                <w:color w:val="000000"/>
                <w:sz w:val="20"/>
                <w:szCs w:val="20"/>
              </w:rPr>
              <w:t>t</w:t>
            </w:r>
            <w:r w:rsidR="00F01A0C" w:rsidRPr="00CC64B9">
              <w:rPr>
                <w:rFonts w:cs="Arial"/>
                <w:color w:val="000000"/>
                <w:sz w:val="20"/>
                <w:szCs w:val="20"/>
              </w:rPr>
              <w:t>herms</w:t>
            </w:r>
            <w:proofErr w:type="spellEnd"/>
          </w:p>
        </w:tc>
      </w:tr>
      <w:tr w:rsidR="000571F6" w:rsidRPr="00CC64B9" w14:paraId="7DEFCA2C"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2A" w14:textId="77777777" w:rsidR="000571F6" w:rsidRPr="00CC64B9" w:rsidRDefault="00EB367C" w:rsidP="00F06833">
            <w:pPr>
              <w:rPr>
                <w:rStyle w:val="Strong"/>
                <w:rFonts w:cs="Arial"/>
                <w:sz w:val="20"/>
                <w:szCs w:val="20"/>
              </w:rPr>
            </w:pPr>
            <w:r w:rsidRPr="00CC64B9">
              <w:rPr>
                <w:rStyle w:val="Strong"/>
                <w:rFonts w:cs="Arial"/>
                <w:sz w:val="20"/>
                <w:szCs w:val="20"/>
              </w:rPr>
              <w:t>Base Case Description</w:t>
            </w:r>
          </w:p>
        </w:tc>
        <w:tc>
          <w:tcPr>
            <w:tcW w:w="0" w:type="auto"/>
          </w:tcPr>
          <w:p w14:paraId="7DEFCA2B" w14:textId="33FF9915" w:rsidR="005F57B5" w:rsidRPr="00CC64B9" w:rsidRDefault="00B20F82" w:rsidP="000736D9">
            <w:pPr>
              <w:rPr>
                <w:rFonts w:cs="Arial"/>
                <w:sz w:val="20"/>
                <w:szCs w:val="20"/>
              </w:rPr>
            </w:pPr>
            <w:r w:rsidRPr="00CC64B9">
              <w:rPr>
                <w:rFonts w:cs="Arial"/>
                <w:sz w:val="20"/>
                <w:szCs w:val="20"/>
              </w:rPr>
              <w:t xml:space="preserve">The </w:t>
            </w:r>
            <w:r w:rsidR="007F3F18" w:rsidRPr="00CC64B9">
              <w:rPr>
                <w:rFonts w:cs="Arial"/>
                <w:sz w:val="20"/>
                <w:szCs w:val="20"/>
              </w:rPr>
              <w:t>“no control”</w:t>
            </w:r>
            <w:r w:rsidR="00B01748" w:rsidRPr="00CC64B9">
              <w:rPr>
                <w:rFonts w:cs="Arial"/>
                <w:sz w:val="20"/>
                <w:szCs w:val="20"/>
              </w:rPr>
              <w:t xml:space="preserve"> </w:t>
            </w:r>
            <w:r w:rsidRPr="00CC64B9">
              <w:rPr>
                <w:rFonts w:cs="Arial"/>
                <w:sz w:val="20"/>
                <w:szCs w:val="20"/>
              </w:rPr>
              <w:t>base case is the existi</w:t>
            </w:r>
            <w:r w:rsidR="00F50393" w:rsidRPr="00CC64B9">
              <w:rPr>
                <w:rFonts w:cs="Arial"/>
                <w:sz w:val="20"/>
                <w:szCs w:val="20"/>
              </w:rPr>
              <w:t xml:space="preserve">ng water heating system without </w:t>
            </w:r>
            <w:r w:rsidR="000736D9">
              <w:rPr>
                <w:rFonts w:cs="Arial"/>
                <w:sz w:val="20"/>
                <w:szCs w:val="20"/>
              </w:rPr>
              <w:t>“temperature modulation”</w:t>
            </w:r>
            <w:r w:rsidRPr="00CC64B9">
              <w:rPr>
                <w:rFonts w:cs="Arial"/>
                <w:sz w:val="20"/>
                <w:szCs w:val="20"/>
              </w:rPr>
              <w:t xml:space="preserve"> boiler </w:t>
            </w:r>
            <w:r w:rsidR="00F50393" w:rsidRPr="00CC64B9">
              <w:rPr>
                <w:rFonts w:cs="Arial"/>
                <w:sz w:val="20"/>
                <w:szCs w:val="20"/>
              </w:rPr>
              <w:t>control</w:t>
            </w:r>
            <w:r w:rsidRPr="00CC64B9">
              <w:rPr>
                <w:rFonts w:cs="Arial"/>
                <w:sz w:val="20"/>
                <w:szCs w:val="20"/>
              </w:rPr>
              <w:t>.</w:t>
            </w:r>
          </w:p>
        </w:tc>
      </w:tr>
      <w:tr w:rsidR="000571F6" w:rsidRPr="00CC64B9" w14:paraId="7DEFCA30"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2D" w14:textId="77777777" w:rsidR="000571F6" w:rsidRPr="00CC64B9" w:rsidRDefault="00EE4094" w:rsidP="00F06833">
            <w:pPr>
              <w:rPr>
                <w:rStyle w:val="Strong"/>
                <w:rFonts w:cs="Arial"/>
                <w:sz w:val="20"/>
                <w:szCs w:val="20"/>
              </w:rPr>
            </w:pPr>
            <w:r w:rsidRPr="00CC64B9">
              <w:rPr>
                <w:rStyle w:val="Strong"/>
                <w:rFonts w:cs="Arial"/>
                <w:sz w:val="20"/>
                <w:szCs w:val="20"/>
              </w:rPr>
              <w:t xml:space="preserve">Base Case </w:t>
            </w:r>
            <w:r w:rsidR="00EB367C" w:rsidRPr="00CC64B9">
              <w:rPr>
                <w:rStyle w:val="Strong"/>
                <w:rFonts w:cs="Arial"/>
                <w:sz w:val="20"/>
                <w:szCs w:val="20"/>
              </w:rPr>
              <w:t>Energy Consumption</w:t>
            </w:r>
          </w:p>
        </w:tc>
        <w:tc>
          <w:tcPr>
            <w:tcW w:w="0" w:type="auto"/>
          </w:tcPr>
          <w:p w14:paraId="7DEFCA2E" w14:textId="77777777" w:rsidR="00B34414" w:rsidRPr="00CC64B9" w:rsidRDefault="00F01A0C" w:rsidP="00F06833">
            <w:pPr>
              <w:rPr>
                <w:rFonts w:cs="Arial"/>
                <w:color w:val="000000"/>
                <w:sz w:val="20"/>
                <w:szCs w:val="20"/>
              </w:rPr>
            </w:pPr>
            <w:r w:rsidRPr="00CC64B9">
              <w:rPr>
                <w:rFonts w:cs="Arial"/>
                <w:color w:val="000000"/>
                <w:sz w:val="20"/>
                <w:szCs w:val="20"/>
              </w:rPr>
              <w:t>186</w:t>
            </w:r>
            <w:r w:rsidR="009C1F64" w:rsidRPr="00CC64B9">
              <w:rPr>
                <w:rFonts w:cs="Arial"/>
                <w:color w:val="000000"/>
                <w:sz w:val="20"/>
                <w:szCs w:val="20"/>
              </w:rPr>
              <w:t xml:space="preserve"> </w:t>
            </w:r>
            <w:proofErr w:type="spellStart"/>
            <w:r w:rsidR="009C1F64" w:rsidRPr="00CC64B9">
              <w:rPr>
                <w:rFonts w:cs="Arial"/>
                <w:color w:val="000000"/>
                <w:sz w:val="20"/>
                <w:szCs w:val="20"/>
              </w:rPr>
              <w:t>therms</w:t>
            </w:r>
            <w:proofErr w:type="spellEnd"/>
            <w:r w:rsidR="009C1F64" w:rsidRPr="00CC64B9">
              <w:rPr>
                <w:rFonts w:cs="Arial"/>
                <w:color w:val="000000"/>
                <w:sz w:val="20"/>
                <w:szCs w:val="20"/>
              </w:rPr>
              <w:t>/multifamily dwelling unit/</w:t>
            </w:r>
            <w:proofErr w:type="spellStart"/>
            <w:r w:rsidR="009C1F64" w:rsidRPr="00CC64B9">
              <w:rPr>
                <w:rFonts w:cs="Arial"/>
                <w:color w:val="000000"/>
                <w:sz w:val="20"/>
                <w:szCs w:val="20"/>
              </w:rPr>
              <w:t>yr</w:t>
            </w:r>
            <w:proofErr w:type="spellEnd"/>
          </w:p>
          <w:p w14:paraId="7DEFCA2F" w14:textId="77777777" w:rsidR="000571F6" w:rsidRPr="00CC64B9" w:rsidRDefault="00F01A0C" w:rsidP="00F06833">
            <w:pPr>
              <w:rPr>
                <w:rFonts w:cs="Arial"/>
                <w:sz w:val="20"/>
                <w:szCs w:val="20"/>
              </w:rPr>
            </w:pPr>
            <w:r w:rsidRPr="00CC64B9">
              <w:rPr>
                <w:rFonts w:cs="Arial"/>
                <w:color w:val="000000"/>
                <w:sz w:val="20"/>
                <w:szCs w:val="20"/>
              </w:rPr>
              <w:t>116</w:t>
            </w:r>
            <w:r w:rsidR="009C1F64" w:rsidRPr="00CC64B9">
              <w:rPr>
                <w:rFonts w:cs="Arial"/>
                <w:color w:val="000000"/>
                <w:sz w:val="20"/>
                <w:szCs w:val="20"/>
              </w:rPr>
              <w:t xml:space="preserve"> </w:t>
            </w:r>
            <w:proofErr w:type="spellStart"/>
            <w:r w:rsidR="009C1F64" w:rsidRPr="00CC64B9">
              <w:rPr>
                <w:rFonts w:cs="Arial"/>
                <w:color w:val="000000"/>
                <w:sz w:val="20"/>
                <w:szCs w:val="20"/>
              </w:rPr>
              <w:t>therms</w:t>
            </w:r>
            <w:proofErr w:type="spellEnd"/>
            <w:r w:rsidR="009C1F64" w:rsidRPr="00CC64B9">
              <w:rPr>
                <w:rFonts w:cs="Arial"/>
                <w:color w:val="000000"/>
                <w:sz w:val="20"/>
                <w:szCs w:val="20"/>
              </w:rPr>
              <w:t>/lodging guest room/</w:t>
            </w:r>
            <w:proofErr w:type="spellStart"/>
            <w:r w:rsidR="009C1F64" w:rsidRPr="00CC64B9">
              <w:rPr>
                <w:rFonts w:cs="Arial"/>
                <w:color w:val="000000"/>
                <w:sz w:val="20"/>
                <w:szCs w:val="20"/>
              </w:rPr>
              <w:t>yr</w:t>
            </w:r>
            <w:proofErr w:type="spellEnd"/>
          </w:p>
        </w:tc>
      </w:tr>
      <w:tr w:rsidR="002C4F1C" w:rsidRPr="00CC64B9" w14:paraId="7DEFCA37"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31" w14:textId="77777777" w:rsidR="002C4F1C" w:rsidRPr="00CC64B9" w:rsidRDefault="00C218AD" w:rsidP="00F06833">
            <w:pPr>
              <w:rPr>
                <w:rStyle w:val="Strong"/>
                <w:rFonts w:cs="Arial"/>
                <w:sz w:val="20"/>
                <w:szCs w:val="20"/>
              </w:rPr>
            </w:pPr>
            <w:r w:rsidRPr="00CC64B9">
              <w:rPr>
                <w:rStyle w:val="Strong"/>
                <w:rFonts w:cs="Arial"/>
                <w:sz w:val="20"/>
                <w:szCs w:val="20"/>
              </w:rPr>
              <w:t>Measure Energy Consumption</w:t>
            </w:r>
          </w:p>
          <w:p w14:paraId="7DEFCA32" w14:textId="77777777" w:rsidR="00806EE8" w:rsidRPr="00CC64B9" w:rsidRDefault="00806EE8" w:rsidP="00F06833">
            <w:pPr>
              <w:rPr>
                <w:rFonts w:cs="Arial"/>
                <w:b/>
                <w:sz w:val="20"/>
                <w:szCs w:val="20"/>
              </w:rPr>
            </w:pPr>
          </w:p>
        </w:tc>
        <w:tc>
          <w:tcPr>
            <w:tcW w:w="0" w:type="auto"/>
          </w:tcPr>
          <w:p w14:paraId="7DEFCA33" w14:textId="17499C52" w:rsidR="00B34414" w:rsidRPr="00CC64B9" w:rsidRDefault="00B34414" w:rsidP="00F06833">
            <w:pPr>
              <w:rPr>
                <w:rFonts w:cs="Arial"/>
                <w:color w:val="000000"/>
                <w:sz w:val="20"/>
                <w:szCs w:val="20"/>
              </w:rPr>
            </w:pPr>
            <w:r w:rsidRPr="00CC64B9">
              <w:rPr>
                <w:rFonts w:cs="Arial"/>
                <w:color w:val="000000"/>
                <w:sz w:val="20"/>
                <w:szCs w:val="20"/>
              </w:rPr>
              <w:t>184.0</w:t>
            </w:r>
            <w:r w:rsidR="007834E8" w:rsidRPr="00CC64B9">
              <w:rPr>
                <w:rFonts w:cs="Arial"/>
                <w:color w:val="000000"/>
                <w:sz w:val="20"/>
                <w:szCs w:val="20"/>
              </w:rPr>
              <w:t xml:space="preserve"> </w:t>
            </w:r>
            <w:proofErr w:type="spellStart"/>
            <w:r w:rsidR="007834E8" w:rsidRPr="00CC64B9">
              <w:rPr>
                <w:rFonts w:cs="Arial"/>
                <w:color w:val="000000"/>
                <w:sz w:val="20"/>
                <w:szCs w:val="20"/>
              </w:rPr>
              <w:t>therms</w:t>
            </w:r>
            <w:proofErr w:type="spellEnd"/>
            <w:r w:rsidR="007834E8" w:rsidRPr="00CC64B9">
              <w:rPr>
                <w:rFonts w:cs="Arial"/>
                <w:color w:val="000000"/>
                <w:sz w:val="20"/>
                <w:szCs w:val="20"/>
              </w:rPr>
              <w:t>/multifamily dwelling unit/</w:t>
            </w:r>
            <w:proofErr w:type="spellStart"/>
            <w:r w:rsidR="007834E8" w:rsidRPr="00CC64B9">
              <w:rPr>
                <w:rFonts w:cs="Arial"/>
                <w:color w:val="000000"/>
                <w:sz w:val="20"/>
                <w:szCs w:val="20"/>
              </w:rPr>
              <w:t>yr</w:t>
            </w:r>
            <w:proofErr w:type="spellEnd"/>
            <w:r w:rsidR="007834E8" w:rsidRPr="00CC64B9">
              <w:rPr>
                <w:rFonts w:cs="Arial"/>
                <w:color w:val="000000"/>
                <w:sz w:val="20"/>
                <w:szCs w:val="20"/>
              </w:rPr>
              <w:t xml:space="preserve"> for</w:t>
            </w:r>
            <w:r w:rsidRPr="00CC64B9">
              <w:rPr>
                <w:rFonts w:cs="Arial"/>
                <w:color w:val="000000"/>
                <w:sz w:val="20"/>
                <w:szCs w:val="20"/>
              </w:rPr>
              <w:t xml:space="preserve"> </w:t>
            </w:r>
            <w:r w:rsidR="00635B9F">
              <w:rPr>
                <w:rFonts w:cs="Arial"/>
                <w:color w:val="000000"/>
                <w:sz w:val="20"/>
                <w:szCs w:val="20"/>
              </w:rPr>
              <w:t>HA10</w:t>
            </w:r>
          </w:p>
          <w:p w14:paraId="7DEFCA35" w14:textId="1F5B4C42" w:rsidR="00B34414" w:rsidRPr="00CC64B9" w:rsidRDefault="00B34414" w:rsidP="00B34414">
            <w:pPr>
              <w:rPr>
                <w:rFonts w:cs="Arial"/>
                <w:color w:val="000000"/>
                <w:sz w:val="20"/>
                <w:szCs w:val="20"/>
              </w:rPr>
            </w:pPr>
            <w:r w:rsidRPr="00CC64B9">
              <w:rPr>
                <w:rFonts w:cs="Arial"/>
                <w:color w:val="000000"/>
                <w:sz w:val="20"/>
                <w:szCs w:val="20"/>
              </w:rPr>
              <w:t xml:space="preserve">114.8 </w:t>
            </w:r>
            <w:proofErr w:type="spellStart"/>
            <w:r w:rsidR="007834E8" w:rsidRPr="00CC64B9">
              <w:rPr>
                <w:rFonts w:cs="Arial"/>
                <w:color w:val="000000"/>
                <w:sz w:val="20"/>
                <w:szCs w:val="20"/>
              </w:rPr>
              <w:t>therms</w:t>
            </w:r>
            <w:proofErr w:type="spellEnd"/>
            <w:r w:rsidR="007834E8" w:rsidRPr="00CC64B9">
              <w:rPr>
                <w:rFonts w:cs="Arial"/>
                <w:color w:val="000000"/>
                <w:sz w:val="20"/>
                <w:szCs w:val="20"/>
              </w:rPr>
              <w:t>/lodging guest room/</w:t>
            </w:r>
            <w:proofErr w:type="spellStart"/>
            <w:r w:rsidR="007834E8" w:rsidRPr="00CC64B9">
              <w:rPr>
                <w:rFonts w:cs="Arial"/>
                <w:color w:val="000000"/>
                <w:sz w:val="20"/>
                <w:szCs w:val="20"/>
              </w:rPr>
              <w:t>yr</w:t>
            </w:r>
            <w:proofErr w:type="spellEnd"/>
            <w:r w:rsidR="007834E8" w:rsidRPr="00CC64B9">
              <w:rPr>
                <w:rFonts w:cs="Arial"/>
                <w:color w:val="000000"/>
                <w:sz w:val="20"/>
                <w:szCs w:val="20"/>
              </w:rPr>
              <w:t xml:space="preserve"> for </w:t>
            </w:r>
            <w:r w:rsidR="00635B9F">
              <w:rPr>
                <w:rFonts w:cs="Arial"/>
                <w:color w:val="000000"/>
                <w:sz w:val="20"/>
                <w:szCs w:val="20"/>
              </w:rPr>
              <w:t>HA13</w:t>
            </w:r>
          </w:p>
          <w:p w14:paraId="7DEFCA36" w14:textId="60CF8B2C" w:rsidR="002C4F1C" w:rsidRPr="00CC64B9" w:rsidRDefault="002C4F1C" w:rsidP="00C45075">
            <w:pPr>
              <w:rPr>
                <w:rFonts w:cs="Arial"/>
                <w:color w:val="000000"/>
                <w:sz w:val="20"/>
                <w:szCs w:val="20"/>
              </w:rPr>
            </w:pPr>
          </w:p>
        </w:tc>
      </w:tr>
      <w:tr w:rsidR="002C4F1C" w:rsidRPr="00CC64B9" w14:paraId="7DEFCA3E"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38" w14:textId="77777777" w:rsidR="00610FC6" w:rsidRPr="00CC64B9" w:rsidRDefault="002C4F1C" w:rsidP="00F06833">
            <w:pPr>
              <w:rPr>
                <w:rStyle w:val="Strong"/>
                <w:rFonts w:cs="Arial"/>
                <w:sz w:val="20"/>
                <w:szCs w:val="20"/>
              </w:rPr>
            </w:pPr>
            <w:r w:rsidRPr="00CC64B9">
              <w:rPr>
                <w:rStyle w:val="Strong"/>
                <w:rFonts w:cs="Arial"/>
                <w:sz w:val="20"/>
                <w:szCs w:val="20"/>
              </w:rPr>
              <w:t>Energy Savings</w:t>
            </w:r>
          </w:p>
          <w:p w14:paraId="7DEFCA39" w14:textId="77777777" w:rsidR="002C4F1C" w:rsidRPr="00CC64B9" w:rsidRDefault="002C4F1C" w:rsidP="00F06833">
            <w:pPr>
              <w:rPr>
                <w:rStyle w:val="Strong1"/>
                <w:rFonts w:cs="Arial"/>
                <w:sz w:val="20"/>
                <w:szCs w:val="20"/>
              </w:rPr>
            </w:pPr>
            <w:r w:rsidRPr="00CC64B9">
              <w:rPr>
                <w:rStyle w:val="Strong"/>
                <w:rFonts w:cs="Arial"/>
                <w:sz w:val="20"/>
                <w:szCs w:val="20"/>
              </w:rPr>
              <w:t>(Base Case – Measure)</w:t>
            </w:r>
          </w:p>
        </w:tc>
        <w:tc>
          <w:tcPr>
            <w:tcW w:w="0" w:type="auto"/>
          </w:tcPr>
          <w:p w14:paraId="7DEFCA3A" w14:textId="2E5CDF9E" w:rsidR="00E40F9A" w:rsidRPr="00CC64B9" w:rsidRDefault="001571BD" w:rsidP="00F06833">
            <w:pPr>
              <w:rPr>
                <w:rFonts w:cs="Arial"/>
                <w:color w:val="000000"/>
                <w:sz w:val="20"/>
                <w:szCs w:val="20"/>
              </w:rPr>
            </w:pPr>
            <w:r w:rsidRPr="00CC64B9">
              <w:rPr>
                <w:rFonts w:cs="Arial"/>
                <w:color w:val="000000"/>
                <w:sz w:val="20"/>
                <w:szCs w:val="20"/>
              </w:rPr>
              <w:t xml:space="preserve">2.0 </w:t>
            </w:r>
            <w:proofErr w:type="spellStart"/>
            <w:r w:rsidRPr="00CC64B9">
              <w:rPr>
                <w:rFonts w:cs="Arial"/>
                <w:color w:val="000000"/>
                <w:sz w:val="20"/>
                <w:szCs w:val="20"/>
              </w:rPr>
              <w:t>therms</w:t>
            </w:r>
            <w:proofErr w:type="spellEnd"/>
            <w:r w:rsidRPr="00CC64B9">
              <w:rPr>
                <w:rFonts w:cs="Arial"/>
                <w:color w:val="000000"/>
                <w:sz w:val="20"/>
                <w:szCs w:val="20"/>
              </w:rPr>
              <w:t>/multifamily dwelling unit/</w:t>
            </w:r>
            <w:proofErr w:type="spellStart"/>
            <w:r w:rsidRPr="00CC64B9">
              <w:rPr>
                <w:rFonts w:cs="Arial"/>
                <w:color w:val="000000"/>
                <w:sz w:val="20"/>
                <w:szCs w:val="20"/>
              </w:rPr>
              <w:t>yr</w:t>
            </w:r>
            <w:proofErr w:type="spellEnd"/>
            <w:r w:rsidRPr="00CC64B9">
              <w:rPr>
                <w:rFonts w:cs="Arial"/>
                <w:color w:val="000000"/>
                <w:sz w:val="20"/>
                <w:szCs w:val="20"/>
              </w:rPr>
              <w:t xml:space="preserve"> for </w:t>
            </w:r>
            <w:r w:rsidR="00635B9F">
              <w:rPr>
                <w:rFonts w:cs="Arial"/>
                <w:color w:val="000000"/>
                <w:sz w:val="20"/>
                <w:szCs w:val="20"/>
              </w:rPr>
              <w:t>HA10</w:t>
            </w:r>
          </w:p>
          <w:p w14:paraId="7DEFCA3C" w14:textId="0B7B61C9" w:rsidR="00E40F9A" w:rsidRPr="00CC64B9" w:rsidRDefault="001571BD" w:rsidP="00F06833">
            <w:pPr>
              <w:rPr>
                <w:rFonts w:cs="Arial"/>
                <w:color w:val="000000"/>
                <w:sz w:val="20"/>
                <w:szCs w:val="20"/>
              </w:rPr>
            </w:pPr>
            <w:r w:rsidRPr="00CC64B9">
              <w:rPr>
                <w:rFonts w:cs="Arial"/>
                <w:color w:val="000000"/>
                <w:sz w:val="20"/>
                <w:szCs w:val="20"/>
              </w:rPr>
              <w:t xml:space="preserve">1.2 </w:t>
            </w:r>
            <w:proofErr w:type="spellStart"/>
            <w:r w:rsidRPr="00CC64B9">
              <w:rPr>
                <w:rFonts w:cs="Arial"/>
                <w:color w:val="000000"/>
                <w:sz w:val="20"/>
                <w:szCs w:val="20"/>
              </w:rPr>
              <w:t>therms</w:t>
            </w:r>
            <w:proofErr w:type="spellEnd"/>
            <w:r w:rsidRPr="00CC64B9">
              <w:rPr>
                <w:rFonts w:cs="Arial"/>
                <w:color w:val="000000"/>
                <w:sz w:val="20"/>
                <w:szCs w:val="20"/>
              </w:rPr>
              <w:t>/lodging guest room/</w:t>
            </w:r>
            <w:proofErr w:type="spellStart"/>
            <w:r w:rsidRPr="00CC64B9">
              <w:rPr>
                <w:rFonts w:cs="Arial"/>
                <w:color w:val="000000"/>
                <w:sz w:val="20"/>
                <w:szCs w:val="20"/>
              </w:rPr>
              <w:t>yr</w:t>
            </w:r>
            <w:proofErr w:type="spellEnd"/>
            <w:r w:rsidRPr="00CC64B9">
              <w:rPr>
                <w:rFonts w:cs="Arial"/>
                <w:color w:val="000000"/>
                <w:sz w:val="20"/>
                <w:szCs w:val="20"/>
              </w:rPr>
              <w:t xml:space="preserve"> for </w:t>
            </w:r>
            <w:r w:rsidR="00635B9F">
              <w:rPr>
                <w:rFonts w:cs="Arial"/>
                <w:color w:val="000000"/>
                <w:sz w:val="20"/>
                <w:szCs w:val="20"/>
              </w:rPr>
              <w:t>HA13</w:t>
            </w:r>
          </w:p>
          <w:p w14:paraId="7DEFCA3D" w14:textId="1E7CAD72" w:rsidR="002C4F1C" w:rsidRPr="00CC64B9" w:rsidRDefault="002C4F1C" w:rsidP="00F06833">
            <w:pPr>
              <w:rPr>
                <w:rFonts w:cs="Arial"/>
                <w:sz w:val="20"/>
                <w:szCs w:val="20"/>
              </w:rPr>
            </w:pPr>
          </w:p>
        </w:tc>
      </w:tr>
      <w:tr w:rsidR="000571F6" w:rsidRPr="00CC64B9" w14:paraId="7DEFCA41"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3F" w14:textId="77777777" w:rsidR="000571F6" w:rsidRPr="00CC64B9" w:rsidRDefault="00C218AD" w:rsidP="00F06833">
            <w:pPr>
              <w:rPr>
                <w:rStyle w:val="Strong"/>
                <w:rFonts w:cs="Arial"/>
                <w:sz w:val="20"/>
                <w:szCs w:val="20"/>
              </w:rPr>
            </w:pPr>
            <w:r w:rsidRPr="00CC64B9">
              <w:rPr>
                <w:rStyle w:val="Strong"/>
                <w:rFonts w:cs="Arial"/>
                <w:sz w:val="20"/>
                <w:szCs w:val="20"/>
              </w:rPr>
              <w:t>Costs Common Units</w:t>
            </w:r>
          </w:p>
        </w:tc>
        <w:tc>
          <w:tcPr>
            <w:tcW w:w="0" w:type="auto"/>
          </w:tcPr>
          <w:p w14:paraId="7DEFCA40" w14:textId="77777777" w:rsidR="000571F6" w:rsidRPr="00CC64B9" w:rsidRDefault="00705FFF" w:rsidP="00F06833">
            <w:pPr>
              <w:rPr>
                <w:rFonts w:cs="Arial"/>
                <w:sz w:val="20"/>
                <w:szCs w:val="20"/>
              </w:rPr>
            </w:pPr>
            <w:r w:rsidRPr="00CC64B9">
              <w:rPr>
                <w:rFonts w:cs="Arial"/>
                <w:sz w:val="20"/>
                <w:szCs w:val="20"/>
              </w:rPr>
              <w:t>$ per measure unit</w:t>
            </w:r>
          </w:p>
        </w:tc>
      </w:tr>
      <w:tr w:rsidR="007B44FB" w:rsidRPr="00CC64B9" w14:paraId="7DEFCA44"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42" w14:textId="0C465D8B" w:rsidR="00806EE8" w:rsidRPr="00CC64B9" w:rsidRDefault="00D03636" w:rsidP="00D03636">
            <w:pPr>
              <w:rPr>
                <w:rFonts w:cs="Arial"/>
                <w:b/>
                <w:bCs/>
                <w:sz w:val="20"/>
                <w:szCs w:val="20"/>
                <w:highlight w:val="cyan"/>
              </w:rPr>
            </w:pPr>
            <w:r>
              <w:rPr>
                <w:rStyle w:val="Strong"/>
                <w:rFonts w:cs="Arial"/>
                <w:sz w:val="20"/>
                <w:szCs w:val="20"/>
              </w:rPr>
              <w:t>Labor</w:t>
            </w:r>
            <w:r w:rsidR="007B44FB" w:rsidRPr="00CC64B9">
              <w:rPr>
                <w:rStyle w:val="Strong"/>
                <w:rFonts w:cs="Arial"/>
                <w:sz w:val="20"/>
                <w:szCs w:val="20"/>
              </w:rPr>
              <w:t xml:space="preserve"> Cost ($/unit)</w:t>
            </w:r>
          </w:p>
        </w:tc>
        <w:tc>
          <w:tcPr>
            <w:tcW w:w="0" w:type="auto"/>
          </w:tcPr>
          <w:p w14:paraId="7DEFCA43" w14:textId="6A2408B0" w:rsidR="007B44FB" w:rsidRPr="00CC64B9" w:rsidRDefault="00705FFF" w:rsidP="00D03636">
            <w:pPr>
              <w:rPr>
                <w:rFonts w:cs="Arial"/>
                <w:sz w:val="20"/>
                <w:szCs w:val="20"/>
              </w:rPr>
            </w:pPr>
            <w:r w:rsidRPr="00CC64B9">
              <w:rPr>
                <w:rFonts w:cs="Arial"/>
                <w:sz w:val="20"/>
                <w:szCs w:val="20"/>
              </w:rPr>
              <w:t>$</w:t>
            </w:r>
            <w:r w:rsidR="00D03636">
              <w:rPr>
                <w:rFonts w:cs="Arial"/>
                <w:sz w:val="20"/>
                <w:szCs w:val="20"/>
              </w:rPr>
              <w:t>44.00</w:t>
            </w:r>
          </w:p>
        </w:tc>
      </w:tr>
      <w:tr w:rsidR="000571F6" w:rsidRPr="00CC64B9" w14:paraId="7DEFCA48"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45" w14:textId="77777777" w:rsidR="000571F6" w:rsidRPr="00CC64B9" w:rsidRDefault="00C218AD" w:rsidP="00F06833">
            <w:pPr>
              <w:rPr>
                <w:rStyle w:val="Strong"/>
                <w:rFonts w:cs="Arial"/>
                <w:sz w:val="20"/>
                <w:szCs w:val="20"/>
              </w:rPr>
            </w:pPr>
            <w:r w:rsidRPr="00CC64B9">
              <w:rPr>
                <w:rStyle w:val="Strong"/>
                <w:rFonts w:cs="Arial"/>
                <w:sz w:val="20"/>
                <w:szCs w:val="20"/>
              </w:rPr>
              <w:t>Measure Equipment Cost ($/unit)</w:t>
            </w:r>
          </w:p>
        </w:tc>
        <w:tc>
          <w:tcPr>
            <w:tcW w:w="0" w:type="auto"/>
          </w:tcPr>
          <w:p w14:paraId="7DEFCA46" w14:textId="4C200649" w:rsidR="00E40F9A" w:rsidRPr="00CC64B9" w:rsidRDefault="00705FFF" w:rsidP="00E31BCE">
            <w:pPr>
              <w:rPr>
                <w:rFonts w:cs="Arial"/>
                <w:sz w:val="20"/>
                <w:szCs w:val="20"/>
              </w:rPr>
            </w:pPr>
            <w:r w:rsidRPr="00CC64B9">
              <w:rPr>
                <w:rFonts w:cs="Arial"/>
                <w:sz w:val="20"/>
                <w:szCs w:val="20"/>
              </w:rPr>
              <w:t xml:space="preserve">$28.55 measure equipment cost for </w:t>
            </w:r>
            <w:r w:rsidR="00635B9F">
              <w:rPr>
                <w:rFonts w:cs="Arial"/>
                <w:color w:val="000000"/>
                <w:sz w:val="20"/>
                <w:szCs w:val="20"/>
              </w:rPr>
              <w:t>HA10</w:t>
            </w:r>
            <w:r w:rsidR="005F031F" w:rsidRPr="00CC64B9">
              <w:rPr>
                <w:rFonts w:cs="Arial"/>
                <w:sz w:val="20"/>
                <w:szCs w:val="20"/>
              </w:rPr>
              <w:t xml:space="preserve"> and </w:t>
            </w:r>
            <w:r w:rsidR="00635B9F">
              <w:rPr>
                <w:rFonts w:cs="Arial"/>
                <w:color w:val="000000"/>
                <w:sz w:val="20"/>
                <w:szCs w:val="20"/>
              </w:rPr>
              <w:t>HA13</w:t>
            </w:r>
          </w:p>
          <w:p w14:paraId="7DEFCA47" w14:textId="3016A44A" w:rsidR="000571F6" w:rsidRPr="00CC64B9" w:rsidRDefault="000571F6" w:rsidP="00C45075">
            <w:pPr>
              <w:rPr>
                <w:rFonts w:cs="Arial"/>
                <w:sz w:val="20"/>
                <w:szCs w:val="20"/>
              </w:rPr>
            </w:pPr>
          </w:p>
        </w:tc>
      </w:tr>
      <w:tr w:rsidR="001E7CA0" w:rsidRPr="00CC64B9" w14:paraId="7DEFCA4B"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49" w14:textId="77777777" w:rsidR="001E7CA0" w:rsidRPr="00CC64B9" w:rsidRDefault="001E7CA0" w:rsidP="00F06833">
            <w:pPr>
              <w:rPr>
                <w:rStyle w:val="Strong"/>
                <w:rFonts w:cs="Arial"/>
                <w:sz w:val="20"/>
                <w:szCs w:val="20"/>
              </w:rPr>
            </w:pPr>
            <w:r w:rsidRPr="00CC64B9">
              <w:rPr>
                <w:rStyle w:val="Strong"/>
                <w:rFonts w:cs="Arial"/>
                <w:sz w:val="20"/>
                <w:szCs w:val="20"/>
              </w:rPr>
              <w:t>Gross Measure Cost ($/unit)</w:t>
            </w:r>
          </w:p>
        </w:tc>
        <w:tc>
          <w:tcPr>
            <w:tcW w:w="0" w:type="auto"/>
          </w:tcPr>
          <w:p w14:paraId="10393E81" w14:textId="3B856F97" w:rsidR="00D03636" w:rsidRPr="00CC64B9" w:rsidRDefault="00D03636" w:rsidP="00D03636">
            <w:pPr>
              <w:rPr>
                <w:rFonts w:cs="Arial"/>
                <w:sz w:val="20"/>
                <w:szCs w:val="20"/>
              </w:rPr>
            </w:pPr>
            <w:r w:rsidRPr="00CC64B9">
              <w:rPr>
                <w:rFonts w:cs="Arial"/>
                <w:sz w:val="20"/>
                <w:szCs w:val="20"/>
              </w:rPr>
              <w:t>$</w:t>
            </w:r>
            <w:r>
              <w:rPr>
                <w:rFonts w:cs="Arial"/>
                <w:sz w:val="20"/>
                <w:szCs w:val="20"/>
              </w:rPr>
              <w:t>72.55</w:t>
            </w:r>
            <w:r w:rsidRPr="00CC64B9">
              <w:rPr>
                <w:rFonts w:cs="Arial"/>
                <w:sz w:val="20"/>
                <w:szCs w:val="20"/>
              </w:rPr>
              <w:t xml:space="preserve"> measure equipment cost for </w:t>
            </w:r>
            <w:r>
              <w:rPr>
                <w:rFonts w:cs="Arial"/>
                <w:color w:val="000000"/>
                <w:sz w:val="20"/>
                <w:szCs w:val="20"/>
              </w:rPr>
              <w:t>HA10</w:t>
            </w:r>
            <w:r w:rsidRPr="00CC64B9">
              <w:rPr>
                <w:rFonts w:cs="Arial"/>
                <w:sz w:val="20"/>
                <w:szCs w:val="20"/>
              </w:rPr>
              <w:t xml:space="preserve"> and </w:t>
            </w:r>
            <w:r>
              <w:rPr>
                <w:rFonts w:cs="Arial"/>
                <w:color w:val="000000"/>
                <w:sz w:val="20"/>
                <w:szCs w:val="20"/>
              </w:rPr>
              <w:t>HA13</w:t>
            </w:r>
          </w:p>
          <w:p w14:paraId="7DEFCA4A" w14:textId="6FA9755C" w:rsidR="001E7CA0" w:rsidRPr="00CC64B9" w:rsidRDefault="001E7CA0" w:rsidP="00D03636">
            <w:pPr>
              <w:rPr>
                <w:rFonts w:cs="Arial"/>
                <w:sz w:val="20"/>
                <w:szCs w:val="20"/>
              </w:rPr>
            </w:pPr>
          </w:p>
        </w:tc>
      </w:tr>
      <w:tr w:rsidR="000571F6" w:rsidRPr="00CC64B9" w14:paraId="7DEFCA4F"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4C" w14:textId="77777777" w:rsidR="000571F6" w:rsidRPr="00CC64B9" w:rsidRDefault="000571F6" w:rsidP="00F06833">
            <w:pPr>
              <w:rPr>
                <w:rStyle w:val="Strong"/>
                <w:rFonts w:cs="Arial"/>
                <w:sz w:val="20"/>
                <w:szCs w:val="20"/>
              </w:rPr>
            </w:pPr>
            <w:r w:rsidRPr="00CC64B9">
              <w:rPr>
                <w:rStyle w:val="Strong"/>
                <w:rFonts w:cs="Arial"/>
                <w:sz w:val="20"/>
                <w:szCs w:val="20"/>
              </w:rPr>
              <w:t>Me</w:t>
            </w:r>
            <w:r w:rsidR="00C218AD" w:rsidRPr="00CC64B9">
              <w:rPr>
                <w:rStyle w:val="Strong"/>
                <w:rFonts w:cs="Arial"/>
                <w:sz w:val="20"/>
                <w:szCs w:val="20"/>
              </w:rPr>
              <w:t>asure Incremental Cost ($/unit)</w:t>
            </w:r>
          </w:p>
        </w:tc>
        <w:tc>
          <w:tcPr>
            <w:tcW w:w="0" w:type="auto"/>
          </w:tcPr>
          <w:p w14:paraId="01009CF6" w14:textId="2E040732" w:rsidR="00D03636" w:rsidRPr="00CC64B9" w:rsidRDefault="00D03636" w:rsidP="00D03636">
            <w:pPr>
              <w:rPr>
                <w:rFonts w:cs="Arial"/>
                <w:sz w:val="20"/>
                <w:szCs w:val="20"/>
              </w:rPr>
            </w:pPr>
            <w:r w:rsidRPr="00CC64B9">
              <w:rPr>
                <w:rFonts w:cs="Arial"/>
                <w:sz w:val="20"/>
                <w:szCs w:val="20"/>
              </w:rPr>
              <w:t>$</w:t>
            </w:r>
            <w:r>
              <w:rPr>
                <w:rFonts w:cs="Arial"/>
                <w:sz w:val="20"/>
                <w:szCs w:val="20"/>
              </w:rPr>
              <w:t>72.55</w:t>
            </w:r>
            <w:r w:rsidRPr="00CC64B9">
              <w:rPr>
                <w:rFonts w:cs="Arial"/>
                <w:sz w:val="20"/>
                <w:szCs w:val="20"/>
              </w:rPr>
              <w:t xml:space="preserve"> measure equipment cost for </w:t>
            </w:r>
            <w:r>
              <w:rPr>
                <w:rFonts w:cs="Arial"/>
                <w:color w:val="000000"/>
                <w:sz w:val="20"/>
                <w:szCs w:val="20"/>
              </w:rPr>
              <w:t>HA10</w:t>
            </w:r>
            <w:r w:rsidRPr="00CC64B9">
              <w:rPr>
                <w:rFonts w:cs="Arial"/>
                <w:sz w:val="20"/>
                <w:szCs w:val="20"/>
              </w:rPr>
              <w:t xml:space="preserve"> and </w:t>
            </w:r>
            <w:r>
              <w:rPr>
                <w:rFonts w:cs="Arial"/>
                <w:color w:val="000000"/>
                <w:sz w:val="20"/>
                <w:szCs w:val="20"/>
              </w:rPr>
              <w:t>HA13</w:t>
            </w:r>
          </w:p>
          <w:p w14:paraId="7DEFCA4E" w14:textId="53083964" w:rsidR="00D16E24" w:rsidRPr="00CC64B9" w:rsidRDefault="00D16E24" w:rsidP="00D03636">
            <w:pPr>
              <w:rPr>
                <w:rFonts w:cs="Arial"/>
                <w:sz w:val="20"/>
                <w:szCs w:val="20"/>
              </w:rPr>
            </w:pPr>
          </w:p>
        </w:tc>
      </w:tr>
      <w:tr w:rsidR="000571F6" w:rsidRPr="00CC64B9" w14:paraId="7DEFCA52"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50" w14:textId="77777777" w:rsidR="000571F6" w:rsidRPr="00CC64B9" w:rsidRDefault="00C218AD" w:rsidP="00F06833">
            <w:pPr>
              <w:rPr>
                <w:rStyle w:val="Strong"/>
                <w:rFonts w:cs="Arial"/>
                <w:sz w:val="20"/>
                <w:szCs w:val="20"/>
              </w:rPr>
            </w:pPr>
            <w:r w:rsidRPr="00CC64B9">
              <w:rPr>
                <w:rStyle w:val="Strong"/>
                <w:rFonts w:cs="Arial"/>
                <w:sz w:val="20"/>
                <w:szCs w:val="20"/>
              </w:rPr>
              <w:t>Effective Useful Life (years)</w:t>
            </w:r>
          </w:p>
        </w:tc>
        <w:tc>
          <w:tcPr>
            <w:tcW w:w="0" w:type="auto"/>
          </w:tcPr>
          <w:p w14:paraId="7DEFCA51" w14:textId="210484E7" w:rsidR="000571F6" w:rsidRPr="00CC64B9" w:rsidRDefault="00302B41" w:rsidP="00F06833">
            <w:pPr>
              <w:rPr>
                <w:rFonts w:cs="Arial"/>
                <w:sz w:val="20"/>
                <w:szCs w:val="20"/>
              </w:rPr>
            </w:pPr>
            <w:r>
              <w:rPr>
                <w:rFonts w:cs="Arial"/>
                <w:sz w:val="20"/>
                <w:szCs w:val="20"/>
              </w:rPr>
              <w:t>15 years for HVAC -</w:t>
            </w:r>
            <w:r w:rsidR="00705FFF" w:rsidRPr="00CC64B9">
              <w:rPr>
                <w:rFonts w:cs="Arial"/>
                <w:sz w:val="20"/>
                <w:szCs w:val="20"/>
              </w:rPr>
              <w:t xml:space="preserve"> EMS, from </w:t>
            </w:r>
            <w:r w:rsidR="00D33DCA">
              <w:rPr>
                <w:rFonts w:cs="Arial"/>
                <w:sz w:val="20"/>
                <w:szCs w:val="20"/>
              </w:rPr>
              <w:t>2014</w:t>
            </w:r>
            <w:r w:rsidR="0010478A" w:rsidRPr="00CC64B9">
              <w:rPr>
                <w:rFonts w:cs="Arial"/>
                <w:sz w:val="20"/>
                <w:szCs w:val="20"/>
              </w:rPr>
              <w:t xml:space="preserve"> </w:t>
            </w:r>
            <w:r w:rsidR="00705FFF" w:rsidRPr="00CC64B9">
              <w:rPr>
                <w:rFonts w:cs="Arial"/>
                <w:sz w:val="20"/>
                <w:szCs w:val="20"/>
              </w:rPr>
              <w:t xml:space="preserve">DEER </w:t>
            </w:r>
            <w:r>
              <w:rPr>
                <w:rFonts w:cs="Arial"/>
                <w:sz w:val="20"/>
                <w:szCs w:val="20"/>
              </w:rPr>
              <w:t xml:space="preserve">Version 2.0.1 </w:t>
            </w:r>
            <w:r w:rsidR="00705FFF" w:rsidRPr="00CC64B9">
              <w:rPr>
                <w:rFonts w:cs="Arial"/>
                <w:sz w:val="20"/>
                <w:szCs w:val="20"/>
              </w:rPr>
              <w:t>READI Tool</w:t>
            </w:r>
            <w:bookmarkStart w:id="6" w:name="_Ref328413563"/>
            <w:r w:rsidR="0010478A" w:rsidRPr="00CC64B9">
              <w:rPr>
                <w:rStyle w:val="EndnoteReference"/>
                <w:rFonts w:cs="Arial"/>
                <w:sz w:val="20"/>
                <w:szCs w:val="20"/>
              </w:rPr>
              <w:endnoteReference w:id="1"/>
            </w:r>
            <w:bookmarkEnd w:id="6"/>
          </w:p>
        </w:tc>
      </w:tr>
      <w:tr w:rsidR="00530B04" w:rsidRPr="00CC64B9" w14:paraId="7DEFCA55"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53" w14:textId="77777777" w:rsidR="00530B04" w:rsidRPr="00CC64B9" w:rsidRDefault="003541A6" w:rsidP="00F06833">
            <w:pPr>
              <w:rPr>
                <w:rStyle w:val="Strong"/>
                <w:rFonts w:cs="Arial"/>
                <w:sz w:val="20"/>
                <w:szCs w:val="20"/>
              </w:rPr>
            </w:pPr>
            <w:r w:rsidRPr="00CC64B9">
              <w:rPr>
                <w:rStyle w:val="Strong"/>
                <w:rFonts w:cs="Arial"/>
                <w:sz w:val="20"/>
                <w:szCs w:val="20"/>
              </w:rPr>
              <w:t>Measure Application Type</w:t>
            </w:r>
          </w:p>
        </w:tc>
        <w:tc>
          <w:tcPr>
            <w:tcW w:w="0" w:type="auto"/>
          </w:tcPr>
          <w:p w14:paraId="7DEFCA54" w14:textId="68841857" w:rsidR="00530B04" w:rsidRPr="00CC64B9" w:rsidRDefault="00400906" w:rsidP="00F06833">
            <w:pPr>
              <w:rPr>
                <w:rFonts w:cs="Arial"/>
                <w:sz w:val="20"/>
                <w:szCs w:val="20"/>
              </w:rPr>
            </w:pPr>
            <w:r>
              <w:rPr>
                <w:rFonts w:cs="Arial"/>
                <w:sz w:val="20"/>
                <w:szCs w:val="20"/>
              </w:rPr>
              <w:t>Retrofit Add On (REA</w:t>
            </w:r>
            <w:r w:rsidR="00E879C6" w:rsidRPr="00CC64B9">
              <w:rPr>
                <w:rFonts w:cs="Arial"/>
                <w:sz w:val="20"/>
                <w:szCs w:val="20"/>
              </w:rPr>
              <w:t>)</w:t>
            </w:r>
          </w:p>
        </w:tc>
      </w:tr>
      <w:tr w:rsidR="000571F6" w:rsidRPr="00CC64B9" w14:paraId="7DEFCA58" w14:textId="77777777" w:rsidTr="008850B0">
        <w:trPr>
          <w:cnfStyle w:val="000000010000" w:firstRow="0" w:lastRow="0" w:firstColumn="0" w:lastColumn="0" w:oddVBand="0" w:evenVBand="0" w:oddHBand="0" w:evenHBand="1" w:firstRowFirstColumn="0" w:firstRowLastColumn="0" w:lastRowFirstColumn="0" w:lastRowLastColumn="0"/>
          <w:trHeight w:val="465"/>
        </w:trPr>
        <w:tc>
          <w:tcPr>
            <w:tcW w:w="0" w:type="auto"/>
          </w:tcPr>
          <w:p w14:paraId="7DEFCA56" w14:textId="77777777" w:rsidR="000571F6" w:rsidRPr="00CC64B9" w:rsidRDefault="00C218AD" w:rsidP="00F06833">
            <w:pPr>
              <w:rPr>
                <w:rStyle w:val="Strong"/>
                <w:rFonts w:cs="Arial"/>
                <w:sz w:val="20"/>
                <w:szCs w:val="20"/>
              </w:rPr>
            </w:pPr>
            <w:r w:rsidRPr="00CC64B9">
              <w:rPr>
                <w:rStyle w:val="Strong"/>
                <w:rFonts w:cs="Arial"/>
                <w:sz w:val="20"/>
                <w:szCs w:val="20"/>
              </w:rPr>
              <w:t>Net-to-Gross Ratios</w:t>
            </w:r>
          </w:p>
        </w:tc>
        <w:tc>
          <w:tcPr>
            <w:tcW w:w="0" w:type="auto"/>
          </w:tcPr>
          <w:p w14:paraId="7DEFCA57" w14:textId="50CB3AFC" w:rsidR="000571F6" w:rsidRPr="00CC64B9" w:rsidRDefault="00D929F2" w:rsidP="00C555E0">
            <w:pPr>
              <w:rPr>
                <w:rFonts w:cs="Arial"/>
                <w:sz w:val="20"/>
                <w:szCs w:val="20"/>
              </w:rPr>
            </w:pPr>
            <w:r>
              <w:rPr>
                <w:rFonts w:cs="Arial"/>
                <w:color w:val="000000"/>
                <w:sz w:val="20"/>
                <w:szCs w:val="20"/>
              </w:rPr>
              <w:t xml:space="preserve">0.55 for Residential Default </w:t>
            </w:r>
            <w:r w:rsidRPr="00CC64B9">
              <w:rPr>
                <w:rFonts w:cs="Arial"/>
                <w:color w:val="000000"/>
                <w:sz w:val="20"/>
                <w:szCs w:val="20"/>
              </w:rPr>
              <w:t>&gt; 2 years</w:t>
            </w:r>
            <w:r>
              <w:rPr>
                <w:rFonts w:cs="Arial"/>
                <w:color w:val="000000"/>
                <w:sz w:val="20"/>
                <w:szCs w:val="20"/>
              </w:rPr>
              <w:t>,</w:t>
            </w:r>
            <w:r w:rsidRPr="00CC64B9">
              <w:rPr>
                <w:rFonts w:cs="Arial"/>
                <w:color w:val="000000"/>
                <w:sz w:val="20"/>
                <w:szCs w:val="20"/>
              </w:rPr>
              <w:t xml:space="preserve"> </w:t>
            </w:r>
            <w:r>
              <w:rPr>
                <w:rFonts w:cs="Arial"/>
                <w:color w:val="000000"/>
                <w:sz w:val="20"/>
                <w:szCs w:val="20"/>
              </w:rPr>
              <w:t xml:space="preserve">and </w:t>
            </w:r>
            <w:r w:rsidR="00705FFF" w:rsidRPr="00CC64B9">
              <w:rPr>
                <w:rFonts w:cs="Arial"/>
                <w:color w:val="000000"/>
                <w:sz w:val="20"/>
                <w:szCs w:val="20"/>
              </w:rPr>
              <w:t xml:space="preserve">0.6 for Commercial Default &gt; 2 years, </w:t>
            </w:r>
            <w:r w:rsidR="00705FFF" w:rsidRPr="00CC64B9">
              <w:rPr>
                <w:rFonts w:cs="Arial"/>
                <w:sz w:val="20"/>
                <w:szCs w:val="20"/>
              </w:rPr>
              <w:t xml:space="preserve">from </w:t>
            </w:r>
            <w:r w:rsidR="00D33DCA">
              <w:rPr>
                <w:rFonts w:cs="Arial"/>
                <w:sz w:val="20"/>
                <w:szCs w:val="20"/>
              </w:rPr>
              <w:t>2014</w:t>
            </w:r>
            <w:r w:rsidR="0010478A" w:rsidRPr="00CC64B9">
              <w:rPr>
                <w:rFonts w:cs="Arial"/>
                <w:sz w:val="20"/>
                <w:szCs w:val="20"/>
              </w:rPr>
              <w:t xml:space="preserve"> </w:t>
            </w:r>
            <w:r w:rsidR="00705FFF" w:rsidRPr="00CC64B9">
              <w:rPr>
                <w:rFonts w:cs="Arial"/>
                <w:sz w:val="20"/>
                <w:szCs w:val="20"/>
              </w:rPr>
              <w:t xml:space="preserve">DEER READI </w:t>
            </w:r>
            <w:r w:rsidR="00302B41">
              <w:rPr>
                <w:rFonts w:cs="Arial"/>
                <w:sz w:val="20"/>
                <w:szCs w:val="20"/>
              </w:rPr>
              <w:t xml:space="preserve">Version 2.0.1 </w:t>
            </w:r>
            <w:r w:rsidR="00705FFF" w:rsidRPr="00CC64B9">
              <w:rPr>
                <w:rFonts w:cs="Arial"/>
                <w:sz w:val="20"/>
                <w:szCs w:val="20"/>
              </w:rPr>
              <w:t>Tool</w:t>
            </w:r>
            <w:r w:rsidR="00C555E0" w:rsidRPr="00CC64B9">
              <w:rPr>
                <w:rFonts w:cs="Arial"/>
                <w:sz w:val="20"/>
                <w:szCs w:val="20"/>
                <w:vertAlign w:val="superscript"/>
              </w:rPr>
              <w:fldChar w:fldCharType="begin"/>
            </w:r>
            <w:r w:rsidR="00C555E0" w:rsidRPr="00CC64B9">
              <w:rPr>
                <w:rFonts w:cs="Arial"/>
                <w:sz w:val="20"/>
                <w:szCs w:val="20"/>
                <w:vertAlign w:val="superscript"/>
              </w:rPr>
              <w:instrText xml:space="preserve"> NOTEREF _Ref328413563 \h  \* MERGEFORMAT </w:instrText>
            </w:r>
            <w:r w:rsidR="00C555E0" w:rsidRPr="00CC64B9">
              <w:rPr>
                <w:rFonts w:cs="Arial"/>
                <w:sz w:val="20"/>
                <w:szCs w:val="20"/>
                <w:vertAlign w:val="superscript"/>
              </w:rPr>
            </w:r>
            <w:r w:rsidR="00C555E0" w:rsidRPr="00CC64B9">
              <w:rPr>
                <w:rFonts w:cs="Arial"/>
                <w:sz w:val="20"/>
                <w:szCs w:val="20"/>
                <w:vertAlign w:val="superscript"/>
              </w:rPr>
              <w:fldChar w:fldCharType="separate"/>
            </w:r>
            <w:r w:rsidR="00644DB4">
              <w:rPr>
                <w:rFonts w:cs="Arial"/>
                <w:sz w:val="20"/>
                <w:szCs w:val="20"/>
                <w:vertAlign w:val="superscript"/>
              </w:rPr>
              <w:t>1</w:t>
            </w:r>
            <w:r w:rsidR="00C555E0" w:rsidRPr="00CC64B9">
              <w:rPr>
                <w:rFonts w:cs="Arial"/>
                <w:sz w:val="20"/>
                <w:szCs w:val="20"/>
                <w:vertAlign w:val="superscript"/>
              </w:rPr>
              <w:fldChar w:fldCharType="end"/>
            </w:r>
          </w:p>
        </w:tc>
      </w:tr>
      <w:tr w:rsidR="00127CC8" w:rsidRPr="00CC64B9" w14:paraId="7DEFCA5B" w14:textId="77777777" w:rsidTr="008850B0">
        <w:trPr>
          <w:cnfStyle w:val="000000100000" w:firstRow="0" w:lastRow="0" w:firstColumn="0" w:lastColumn="0" w:oddVBand="0" w:evenVBand="0" w:oddHBand="1" w:evenHBand="0" w:firstRowFirstColumn="0" w:firstRowLastColumn="0" w:lastRowFirstColumn="0" w:lastRowLastColumn="0"/>
          <w:trHeight w:val="465"/>
        </w:trPr>
        <w:tc>
          <w:tcPr>
            <w:tcW w:w="0" w:type="auto"/>
          </w:tcPr>
          <w:p w14:paraId="7DEFCA59" w14:textId="77777777" w:rsidR="00127CC8" w:rsidRPr="00CC64B9" w:rsidRDefault="00C218AD" w:rsidP="00F06833">
            <w:pPr>
              <w:rPr>
                <w:rStyle w:val="Strong"/>
                <w:rFonts w:cs="Arial"/>
                <w:sz w:val="20"/>
                <w:szCs w:val="20"/>
              </w:rPr>
            </w:pPr>
            <w:r w:rsidRPr="00CC64B9">
              <w:rPr>
                <w:rStyle w:val="Strong"/>
                <w:rFonts w:cs="Arial"/>
                <w:sz w:val="20"/>
                <w:szCs w:val="20"/>
              </w:rPr>
              <w:t>Important Comments</w:t>
            </w:r>
          </w:p>
        </w:tc>
        <w:tc>
          <w:tcPr>
            <w:tcW w:w="0" w:type="auto"/>
          </w:tcPr>
          <w:p w14:paraId="7DEFCA5A" w14:textId="3842BBEB" w:rsidR="00CD6046" w:rsidRPr="00EC5522" w:rsidRDefault="0097703D" w:rsidP="00EC5522">
            <w:pPr>
              <w:rPr>
                <w:rFonts w:cs="Arial"/>
                <w:sz w:val="20"/>
                <w:szCs w:val="20"/>
              </w:rPr>
            </w:pPr>
            <w:r>
              <w:rPr>
                <w:sz w:val="20"/>
                <w:szCs w:val="20"/>
              </w:rPr>
              <w:t>Assume 30 multifamily dwelling units or 30 hotel guest rooms per new boiler controller.</w:t>
            </w:r>
          </w:p>
        </w:tc>
      </w:tr>
    </w:tbl>
    <w:p w14:paraId="7DEFCA5C"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7DEFCBF2" w14:textId="6CB3203C" w:rsidR="00E71EF1" w:rsidRPr="00945BF0" w:rsidRDefault="00E71EF1" w:rsidP="00E71EF1">
      <w:pPr>
        <w:pStyle w:val="Heading1"/>
      </w:pPr>
      <w:bookmarkStart w:id="7" w:name="_Toc304800196"/>
      <w:bookmarkStart w:id="8" w:name="_Toc324318333"/>
      <w:bookmarkStart w:id="9" w:name="_Toc324340477"/>
      <w:bookmarkStart w:id="10" w:name="_Toc481419679"/>
      <w:r w:rsidRPr="00945BF0">
        <w:lastRenderedPageBreak/>
        <w:t>Document Revision History</w:t>
      </w:r>
      <w:bookmarkEnd w:id="7"/>
      <w:bookmarkEnd w:id="8"/>
      <w:bookmarkEnd w:id="9"/>
      <w:bookmarkEnd w:id="10"/>
    </w:p>
    <w:p w14:paraId="7DEFCBF3"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7DEFCBF8" w14:textId="77777777" w:rsidTr="003C7AA0">
        <w:trPr>
          <w:trHeight w:val="464"/>
        </w:trPr>
        <w:tc>
          <w:tcPr>
            <w:tcW w:w="858" w:type="pct"/>
            <w:tcBorders>
              <w:top w:val="nil"/>
              <w:bottom w:val="single" w:sz="18" w:space="0" w:color="FFFFFF"/>
            </w:tcBorders>
            <w:shd w:val="pct20" w:color="000000" w:fill="FFFFFF"/>
          </w:tcPr>
          <w:p w14:paraId="7DEFCBF4"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7DEFCBF5"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7DEFCBF6" w14:textId="77777777" w:rsidR="000374A5" w:rsidRPr="002B4FEF" w:rsidRDefault="000374A5" w:rsidP="007E2886">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79" w:type="pct"/>
            <w:tcBorders>
              <w:top w:val="nil"/>
              <w:bottom w:val="single" w:sz="18" w:space="0" w:color="FFFFFF"/>
            </w:tcBorders>
            <w:shd w:val="pct20" w:color="000000" w:fill="FFFFFF"/>
          </w:tcPr>
          <w:p w14:paraId="7DEFCBF7" w14:textId="77777777" w:rsidR="000374A5" w:rsidRPr="002B4FEF" w:rsidRDefault="000374A5" w:rsidP="000374A5">
            <w:pPr>
              <w:jc w:val="center"/>
              <w:rPr>
                <w:b/>
                <w:bCs/>
                <w:sz w:val="20"/>
                <w:szCs w:val="20"/>
              </w:rPr>
            </w:pPr>
            <w:r w:rsidRPr="002B4FEF">
              <w:rPr>
                <w:b/>
              </w:rPr>
              <w:t>Author (Company)</w:t>
            </w:r>
          </w:p>
        </w:tc>
      </w:tr>
      <w:tr w:rsidR="003C7AA0" w:rsidRPr="007E2886" w14:paraId="7DEFCBFD" w14:textId="77777777" w:rsidTr="003C7AA0">
        <w:trPr>
          <w:trHeight w:val="464"/>
        </w:trPr>
        <w:tc>
          <w:tcPr>
            <w:tcW w:w="858" w:type="pct"/>
            <w:tcBorders>
              <w:top w:val="single" w:sz="18" w:space="0" w:color="FFFFFF"/>
            </w:tcBorders>
            <w:shd w:val="pct20" w:color="000000" w:fill="FFFFFF"/>
          </w:tcPr>
          <w:p w14:paraId="7DEFCBF9" w14:textId="77777777" w:rsidR="003C7AA0" w:rsidRPr="007E2886" w:rsidRDefault="003C7AA0" w:rsidP="003C7AA0">
            <w:r w:rsidRPr="007E2886">
              <w:t>Revision 0</w:t>
            </w:r>
          </w:p>
        </w:tc>
        <w:tc>
          <w:tcPr>
            <w:tcW w:w="783" w:type="pct"/>
            <w:tcBorders>
              <w:top w:val="single" w:sz="18" w:space="0" w:color="FFFFFF"/>
            </w:tcBorders>
            <w:shd w:val="pct20" w:color="000000" w:fill="FFFFFF"/>
          </w:tcPr>
          <w:p w14:paraId="7DEFCBFA" w14:textId="77777777" w:rsidR="003C7AA0" w:rsidRPr="007E2886" w:rsidRDefault="003C7AA0" w:rsidP="003C7AA0">
            <w:r>
              <w:t>03/26</w:t>
            </w:r>
            <w:r w:rsidRPr="007E2886">
              <w:t>/20</w:t>
            </w:r>
            <w:r>
              <w:t>08</w:t>
            </w:r>
          </w:p>
        </w:tc>
        <w:tc>
          <w:tcPr>
            <w:tcW w:w="1680" w:type="pct"/>
            <w:tcBorders>
              <w:top w:val="single" w:sz="18" w:space="0" w:color="FFFFFF"/>
            </w:tcBorders>
            <w:shd w:val="pct20" w:color="000000" w:fill="FFFFFF"/>
          </w:tcPr>
          <w:p w14:paraId="7DEFCBFB" w14:textId="77777777" w:rsidR="003C7AA0" w:rsidRPr="007E2886" w:rsidRDefault="003C7AA0" w:rsidP="003C7AA0">
            <w:r w:rsidRPr="007E2886">
              <w:t>PGECODHW</w:t>
            </w:r>
            <w:r>
              <w:t>115</w:t>
            </w:r>
            <w:r w:rsidRPr="007E2886">
              <w:t xml:space="preserve"> Boiler Controller Work Paper, Rev. </w:t>
            </w:r>
            <w:r w:rsidR="00007A30">
              <w:t>0</w:t>
            </w:r>
          </w:p>
        </w:tc>
        <w:tc>
          <w:tcPr>
            <w:tcW w:w="1679" w:type="pct"/>
            <w:tcBorders>
              <w:top w:val="single" w:sz="18" w:space="0" w:color="FFFFFF"/>
            </w:tcBorders>
            <w:shd w:val="pct20" w:color="000000" w:fill="FFFFFF"/>
          </w:tcPr>
          <w:p w14:paraId="7DEFCBFC" w14:textId="77777777" w:rsidR="003C7AA0" w:rsidRPr="007E2886" w:rsidRDefault="00007A30" w:rsidP="00066A17">
            <w:r>
              <w:t>Southern California Gas Company</w:t>
            </w:r>
          </w:p>
        </w:tc>
      </w:tr>
      <w:tr w:rsidR="00E91C15" w:rsidRPr="007E2886" w14:paraId="7DEFCC02" w14:textId="77777777" w:rsidTr="00345059">
        <w:trPr>
          <w:trHeight w:val="464"/>
        </w:trPr>
        <w:tc>
          <w:tcPr>
            <w:tcW w:w="858" w:type="pct"/>
            <w:tcBorders>
              <w:top w:val="single" w:sz="18" w:space="0" w:color="FFFFFF"/>
              <w:bottom w:val="single" w:sz="18" w:space="0" w:color="FFFFFF"/>
            </w:tcBorders>
            <w:shd w:val="pct20" w:color="000000" w:fill="FFFFFF"/>
          </w:tcPr>
          <w:p w14:paraId="7DEFCBFE" w14:textId="77777777" w:rsidR="00E91C15" w:rsidRPr="007E2886" w:rsidRDefault="00E91C15" w:rsidP="007E2886">
            <w:r w:rsidRPr="007E2886">
              <w:t xml:space="preserve">Revision </w:t>
            </w:r>
            <w:r w:rsidR="003C7AA0">
              <w:t>1</w:t>
            </w:r>
          </w:p>
        </w:tc>
        <w:tc>
          <w:tcPr>
            <w:tcW w:w="783" w:type="pct"/>
            <w:tcBorders>
              <w:top w:val="single" w:sz="18" w:space="0" w:color="FFFFFF"/>
              <w:bottom w:val="single" w:sz="18" w:space="0" w:color="FFFFFF"/>
            </w:tcBorders>
            <w:shd w:val="pct20" w:color="000000" w:fill="FFFFFF"/>
          </w:tcPr>
          <w:p w14:paraId="7DEFCBFF" w14:textId="77777777" w:rsidR="00E91C15" w:rsidRPr="007E2886" w:rsidRDefault="003C7AA0" w:rsidP="007E2886">
            <w:r>
              <w:t>06/26</w:t>
            </w:r>
            <w:r w:rsidR="00E91C15" w:rsidRPr="007E2886">
              <w:t>/</w:t>
            </w:r>
            <w:r w:rsidR="007E2886" w:rsidRPr="007E2886">
              <w:t>2012</w:t>
            </w:r>
          </w:p>
        </w:tc>
        <w:tc>
          <w:tcPr>
            <w:tcW w:w="1680" w:type="pct"/>
            <w:tcBorders>
              <w:top w:val="single" w:sz="18" w:space="0" w:color="FFFFFF"/>
              <w:bottom w:val="single" w:sz="18" w:space="0" w:color="FFFFFF"/>
            </w:tcBorders>
            <w:shd w:val="pct20" w:color="000000" w:fill="FFFFFF"/>
          </w:tcPr>
          <w:p w14:paraId="7DEFCC00" w14:textId="77777777" w:rsidR="00E91C15" w:rsidRPr="007E2886" w:rsidRDefault="007E2886" w:rsidP="003C7AA0">
            <w:r w:rsidRPr="007E2886">
              <w:t>PGECODHW</w:t>
            </w:r>
            <w:r w:rsidR="003C7AA0">
              <w:t>115</w:t>
            </w:r>
            <w:r w:rsidRPr="007E2886">
              <w:t xml:space="preserve"> Boiler Controller Work Paper, Rev. </w:t>
            </w:r>
            <w:r w:rsidR="003C7AA0">
              <w:t>1</w:t>
            </w:r>
          </w:p>
        </w:tc>
        <w:tc>
          <w:tcPr>
            <w:tcW w:w="1679" w:type="pct"/>
            <w:tcBorders>
              <w:top w:val="single" w:sz="18" w:space="0" w:color="FFFFFF"/>
              <w:bottom w:val="single" w:sz="18" w:space="0" w:color="FFFFFF"/>
            </w:tcBorders>
            <w:shd w:val="pct20" w:color="000000" w:fill="FFFFFF"/>
          </w:tcPr>
          <w:p w14:paraId="7DEFCC01" w14:textId="77777777" w:rsidR="003C7AA0" w:rsidRPr="007E2886" w:rsidRDefault="007E2886" w:rsidP="007E2886">
            <w:r w:rsidRPr="007E2886">
              <w:t>Charlie Middleton</w:t>
            </w:r>
            <w:r w:rsidR="00E91C15" w:rsidRPr="007E2886">
              <w:t xml:space="preserve"> (PG&amp;E)</w:t>
            </w:r>
          </w:p>
        </w:tc>
      </w:tr>
      <w:tr w:rsidR="00345059" w:rsidRPr="007E2886" w14:paraId="0EE5938C" w14:textId="77777777" w:rsidTr="003C7AA0">
        <w:trPr>
          <w:trHeight w:val="464"/>
        </w:trPr>
        <w:tc>
          <w:tcPr>
            <w:tcW w:w="858" w:type="pct"/>
            <w:tcBorders>
              <w:top w:val="single" w:sz="18" w:space="0" w:color="FFFFFF"/>
            </w:tcBorders>
            <w:shd w:val="pct20" w:color="000000" w:fill="FFFFFF"/>
          </w:tcPr>
          <w:p w14:paraId="40F520F6" w14:textId="185A144A" w:rsidR="00345059" w:rsidRPr="007E2886" w:rsidRDefault="00345059" w:rsidP="007E2886">
            <w:r>
              <w:t>Revision 2</w:t>
            </w:r>
          </w:p>
        </w:tc>
        <w:tc>
          <w:tcPr>
            <w:tcW w:w="783" w:type="pct"/>
            <w:tcBorders>
              <w:top w:val="single" w:sz="18" w:space="0" w:color="FFFFFF"/>
            </w:tcBorders>
            <w:shd w:val="pct20" w:color="000000" w:fill="FFFFFF"/>
          </w:tcPr>
          <w:p w14:paraId="16FE49DF" w14:textId="5B04FEC8" w:rsidR="00345059" w:rsidRDefault="00F94809" w:rsidP="007E2886">
            <w:r>
              <w:t>6/26</w:t>
            </w:r>
            <w:r w:rsidR="00345059">
              <w:t>/2014</w:t>
            </w:r>
          </w:p>
        </w:tc>
        <w:tc>
          <w:tcPr>
            <w:tcW w:w="1680" w:type="pct"/>
            <w:tcBorders>
              <w:top w:val="single" w:sz="18" w:space="0" w:color="FFFFFF"/>
            </w:tcBorders>
            <w:shd w:val="pct20" w:color="000000" w:fill="FFFFFF"/>
          </w:tcPr>
          <w:p w14:paraId="3464B4F2" w14:textId="07A000EF" w:rsidR="00345059" w:rsidRPr="007E2886" w:rsidRDefault="00345059" w:rsidP="003C7AA0">
            <w:r>
              <w:t>Ex Ante Database Format update</w:t>
            </w:r>
          </w:p>
        </w:tc>
        <w:tc>
          <w:tcPr>
            <w:tcW w:w="1679" w:type="pct"/>
            <w:tcBorders>
              <w:top w:val="single" w:sz="18" w:space="0" w:color="FFFFFF"/>
            </w:tcBorders>
            <w:shd w:val="pct20" w:color="000000" w:fill="FFFFFF"/>
          </w:tcPr>
          <w:p w14:paraId="167E85F4" w14:textId="20507371" w:rsidR="00345059" w:rsidRPr="007E2886" w:rsidRDefault="00345059" w:rsidP="007E2886">
            <w:r>
              <w:t>Charlie Middleton (PG&amp;E)</w:t>
            </w:r>
          </w:p>
        </w:tc>
      </w:tr>
      <w:tr w:rsidR="003812B9" w:rsidRPr="007E2886" w14:paraId="607B9943" w14:textId="77777777" w:rsidTr="003812B9">
        <w:trPr>
          <w:trHeight w:val="464"/>
        </w:trPr>
        <w:tc>
          <w:tcPr>
            <w:tcW w:w="858" w:type="pct"/>
            <w:tcBorders>
              <w:top w:val="single" w:sz="18" w:space="0" w:color="FFFFFF"/>
              <w:right w:val="single" w:sz="18" w:space="0" w:color="FFFFFF"/>
            </w:tcBorders>
            <w:shd w:val="pct20" w:color="000000" w:fill="FFFFFF"/>
          </w:tcPr>
          <w:p w14:paraId="454503B6" w14:textId="4655BFE5" w:rsidR="003812B9" w:rsidRPr="007E2886" w:rsidRDefault="003812B9" w:rsidP="003812B9">
            <w:bookmarkStart w:id="11" w:name="_Toc186621650"/>
            <w:bookmarkStart w:id="12" w:name="_Toc304800197"/>
            <w:bookmarkStart w:id="13" w:name="_Toc324318334"/>
            <w:r>
              <w:t>Revision 3</w:t>
            </w:r>
          </w:p>
        </w:tc>
        <w:tc>
          <w:tcPr>
            <w:tcW w:w="783" w:type="pct"/>
            <w:tcBorders>
              <w:top w:val="single" w:sz="18" w:space="0" w:color="FFFFFF"/>
              <w:left w:val="single" w:sz="18" w:space="0" w:color="FFFFFF"/>
              <w:right w:val="single" w:sz="18" w:space="0" w:color="FFFFFF"/>
            </w:tcBorders>
            <w:shd w:val="pct20" w:color="000000" w:fill="FFFFFF"/>
          </w:tcPr>
          <w:p w14:paraId="03AC2C2C" w14:textId="4E8C02FD" w:rsidR="003812B9" w:rsidRDefault="00EC5381" w:rsidP="00EC5381">
            <w:r>
              <w:t>8</w:t>
            </w:r>
            <w:r w:rsidR="003812B9">
              <w:t>/</w:t>
            </w:r>
            <w:r>
              <w:t>25</w:t>
            </w:r>
            <w:r w:rsidR="003812B9">
              <w:t>/2016</w:t>
            </w:r>
          </w:p>
        </w:tc>
        <w:tc>
          <w:tcPr>
            <w:tcW w:w="1680" w:type="pct"/>
            <w:tcBorders>
              <w:top w:val="single" w:sz="18" w:space="0" w:color="FFFFFF"/>
              <w:left w:val="single" w:sz="18" w:space="0" w:color="FFFFFF"/>
              <w:right w:val="single" w:sz="18" w:space="0" w:color="FFFFFF"/>
            </w:tcBorders>
            <w:shd w:val="pct20" w:color="000000" w:fill="FFFFFF"/>
          </w:tcPr>
          <w:p w14:paraId="7F27394C" w14:textId="6C5B774E" w:rsidR="003812B9" w:rsidRPr="007E2886" w:rsidRDefault="003812B9" w:rsidP="00EC5381">
            <w:r>
              <w:t>Ex Ante Database Format update</w:t>
            </w:r>
            <w:r w:rsidR="00EC5381">
              <w:t>, REA Cost Update</w:t>
            </w:r>
          </w:p>
        </w:tc>
        <w:tc>
          <w:tcPr>
            <w:tcW w:w="1679" w:type="pct"/>
            <w:tcBorders>
              <w:top w:val="single" w:sz="18" w:space="0" w:color="FFFFFF"/>
              <w:left w:val="single" w:sz="18" w:space="0" w:color="FFFFFF"/>
            </w:tcBorders>
            <w:shd w:val="pct20" w:color="000000" w:fill="FFFFFF"/>
          </w:tcPr>
          <w:p w14:paraId="1ECE03FC" w14:textId="2CC2C2D5" w:rsidR="003812B9" w:rsidRPr="007E2886" w:rsidRDefault="003812B9" w:rsidP="00EC5381">
            <w:r>
              <w:t>Tai Voong (PG&amp;E)</w:t>
            </w:r>
          </w:p>
        </w:tc>
      </w:tr>
      <w:tr w:rsidR="00455128" w:rsidRPr="007E2886" w14:paraId="3D59C6E2" w14:textId="77777777" w:rsidTr="00F35B05">
        <w:trPr>
          <w:trHeight w:val="464"/>
        </w:trPr>
        <w:tc>
          <w:tcPr>
            <w:tcW w:w="858" w:type="pct"/>
            <w:tcBorders>
              <w:top w:val="single" w:sz="18" w:space="0" w:color="FFFFFF"/>
              <w:right w:val="single" w:sz="18" w:space="0" w:color="FFFFFF"/>
            </w:tcBorders>
            <w:shd w:val="pct20" w:color="000000" w:fill="FFFFFF"/>
          </w:tcPr>
          <w:p w14:paraId="704909F5" w14:textId="25CD6F85" w:rsidR="00455128" w:rsidRPr="007E2886" w:rsidRDefault="00455128" w:rsidP="00455128">
            <w:r>
              <w:t>Revision 4</w:t>
            </w:r>
          </w:p>
        </w:tc>
        <w:tc>
          <w:tcPr>
            <w:tcW w:w="783" w:type="pct"/>
            <w:tcBorders>
              <w:top w:val="single" w:sz="18" w:space="0" w:color="FFFFFF"/>
              <w:left w:val="single" w:sz="18" w:space="0" w:color="FFFFFF"/>
              <w:right w:val="single" w:sz="18" w:space="0" w:color="FFFFFF"/>
            </w:tcBorders>
            <w:shd w:val="pct20" w:color="000000" w:fill="FFFFFF"/>
          </w:tcPr>
          <w:p w14:paraId="3D0FF2B1" w14:textId="627F4A1E" w:rsidR="00455128" w:rsidRDefault="00455128" w:rsidP="00455128">
            <w:r>
              <w:t>4/1/2017</w:t>
            </w:r>
          </w:p>
        </w:tc>
        <w:tc>
          <w:tcPr>
            <w:tcW w:w="1680" w:type="pct"/>
            <w:tcBorders>
              <w:top w:val="single" w:sz="18" w:space="0" w:color="FFFFFF"/>
              <w:left w:val="single" w:sz="18" w:space="0" w:color="FFFFFF"/>
              <w:right w:val="single" w:sz="18" w:space="0" w:color="FFFFFF"/>
            </w:tcBorders>
            <w:shd w:val="pct20" w:color="000000" w:fill="FFFFFF"/>
          </w:tcPr>
          <w:p w14:paraId="27DE3F5A" w14:textId="6FB61972" w:rsidR="00455128" w:rsidRPr="007E2886" w:rsidRDefault="00455128" w:rsidP="00455128">
            <w:r>
              <w:t>Sunset HA03 &amp; HA07</w:t>
            </w:r>
          </w:p>
        </w:tc>
        <w:tc>
          <w:tcPr>
            <w:tcW w:w="1679" w:type="pct"/>
            <w:tcBorders>
              <w:top w:val="single" w:sz="18" w:space="0" w:color="FFFFFF"/>
              <w:left w:val="single" w:sz="18" w:space="0" w:color="FFFFFF"/>
            </w:tcBorders>
            <w:shd w:val="pct20" w:color="000000" w:fill="FFFFFF"/>
          </w:tcPr>
          <w:p w14:paraId="14312B60" w14:textId="77777777" w:rsidR="00455128" w:rsidRPr="007E2886" w:rsidRDefault="00455128" w:rsidP="00F35B05">
            <w:r>
              <w:t>Tai Voong (PG&amp;E)</w:t>
            </w:r>
          </w:p>
        </w:tc>
      </w:tr>
    </w:tbl>
    <w:p w14:paraId="7DEFCC03" w14:textId="77777777" w:rsidR="00E71EF1" w:rsidRDefault="00E71EF1" w:rsidP="00E45011">
      <w:pPr>
        <w:pStyle w:val="Heading1"/>
      </w:pPr>
      <w:r w:rsidRPr="006832A4">
        <w:br w:type="page"/>
      </w:r>
      <w:bookmarkStart w:id="14" w:name="_Toc304800198"/>
      <w:bookmarkStart w:id="15" w:name="_Toc324340478"/>
      <w:bookmarkStart w:id="16" w:name="_Toc481419680"/>
      <w:r w:rsidR="001248A3">
        <w:lastRenderedPageBreak/>
        <w:t>Table</w:t>
      </w:r>
      <w:r w:rsidR="006559C8">
        <w:t xml:space="preserve"> of Contents</w:t>
      </w:r>
      <w:bookmarkEnd w:id="11"/>
      <w:bookmarkEnd w:id="12"/>
      <w:bookmarkEnd w:id="13"/>
      <w:bookmarkEnd w:id="14"/>
      <w:bookmarkEnd w:id="15"/>
      <w:bookmarkEnd w:id="16"/>
    </w:p>
    <w:p w14:paraId="4B2C6B7F" w14:textId="77777777" w:rsidR="00F35B05"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81419678" w:history="1">
        <w:r w:rsidR="00F35B05" w:rsidRPr="00CB178D">
          <w:rPr>
            <w:rStyle w:val="Hyperlink"/>
            <w:noProof/>
          </w:rPr>
          <w:t>At-a-Glance Summary</w:t>
        </w:r>
        <w:r w:rsidR="00F35B05">
          <w:rPr>
            <w:noProof/>
            <w:webHidden/>
          </w:rPr>
          <w:tab/>
        </w:r>
        <w:r w:rsidR="00F35B05">
          <w:rPr>
            <w:noProof/>
            <w:webHidden/>
          </w:rPr>
          <w:fldChar w:fldCharType="begin"/>
        </w:r>
        <w:r w:rsidR="00F35B05">
          <w:rPr>
            <w:noProof/>
            <w:webHidden/>
          </w:rPr>
          <w:instrText xml:space="preserve"> PAGEREF _Toc481419678 \h </w:instrText>
        </w:r>
        <w:r w:rsidR="00F35B05">
          <w:rPr>
            <w:noProof/>
            <w:webHidden/>
          </w:rPr>
        </w:r>
        <w:r w:rsidR="00F35B05">
          <w:rPr>
            <w:noProof/>
            <w:webHidden/>
          </w:rPr>
          <w:fldChar w:fldCharType="separate"/>
        </w:r>
        <w:r w:rsidR="00F35B05">
          <w:rPr>
            <w:noProof/>
            <w:webHidden/>
          </w:rPr>
          <w:t>ii</w:t>
        </w:r>
        <w:r w:rsidR="00F35B05">
          <w:rPr>
            <w:noProof/>
            <w:webHidden/>
          </w:rPr>
          <w:fldChar w:fldCharType="end"/>
        </w:r>
      </w:hyperlink>
    </w:p>
    <w:p w14:paraId="0224B717"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79" w:history="1">
        <w:r w:rsidRPr="00CB178D">
          <w:rPr>
            <w:rStyle w:val="Hyperlink"/>
            <w:noProof/>
          </w:rPr>
          <w:t>Document Revision History</w:t>
        </w:r>
        <w:r>
          <w:rPr>
            <w:noProof/>
            <w:webHidden/>
          </w:rPr>
          <w:tab/>
        </w:r>
        <w:r>
          <w:rPr>
            <w:noProof/>
            <w:webHidden/>
          </w:rPr>
          <w:fldChar w:fldCharType="begin"/>
        </w:r>
        <w:r>
          <w:rPr>
            <w:noProof/>
            <w:webHidden/>
          </w:rPr>
          <w:instrText xml:space="preserve"> PAGEREF _Toc481419679 \h </w:instrText>
        </w:r>
        <w:r>
          <w:rPr>
            <w:noProof/>
            <w:webHidden/>
          </w:rPr>
        </w:r>
        <w:r>
          <w:rPr>
            <w:noProof/>
            <w:webHidden/>
          </w:rPr>
          <w:fldChar w:fldCharType="separate"/>
        </w:r>
        <w:r>
          <w:rPr>
            <w:noProof/>
            <w:webHidden/>
          </w:rPr>
          <w:t>iii</w:t>
        </w:r>
        <w:r>
          <w:rPr>
            <w:noProof/>
            <w:webHidden/>
          </w:rPr>
          <w:fldChar w:fldCharType="end"/>
        </w:r>
      </w:hyperlink>
    </w:p>
    <w:p w14:paraId="55909990"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80" w:history="1">
        <w:r w:rsidRPr="00CB178D">
          <w:rPr>
            <w:rStyle w:val="Hyperlink"/>
            <w:noProof/>
          </w:rPr>
          <w:t>Table of Contents</w:t>
        </w:r>
        <w:r>
          <w:rPr>
            <w:noProof/>
            <w:webHidden/>
          </w:rPr>
          <w:tab/>
        </w:r>
        <w:r>
          <w:rPr>
            <w:noProof/>
            <w:webHidden/>
          </w:rPr>
          <w:fldChar w:fldCharType="begin"/>
        </w:r>
        <w:r>
          <w:rPr>
            <w:noProof/>
            <w:webHidden/>
          </w:rPr>
          <w:instrText xml:space="preserve"> PAGEREF _Toc481419680 \h </w:instrText>
        </w:r>
        <w:r>
          <w:rPr>
            <w:noProof/>
            <w:webHidden/>
          </w:rPr>
        </w:r>
        <w:r>
          <w:rPr>
            <w:noProof/>
            <w:webHidden/>
          </w:rPr>
          <w:fldChar w:fldCharType="separate"/>
        </w:r>
        <w:r>
          <w:rPr>
            <w:noProof/>
            <w:webHidden/>
          </w:rPr>
          <w:t>iv</w:t>
        </w:r>
        <w:r>
          <w:rPr>
            <w:noProof/>
            <w:webHidden/>
          </w:rPr>
          <w:fldChar w:fldCharType="end"/>
        </w:r>
      </w:hyperlink>
    </w:p>
    <w:p w14:paraId="27600999"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81" w:history="1">
        <w:r w:rsidRPr="00CB178D">
          <w:rPr>
            <w:rStyle w:val="Hyperlink"/>
            <w:noProof/>
          </w:rPr>
          <w:t>List of Tables</w:t>
        </w:r>
        <w:r>
          <w:rPr>
            <w:noProof/>
            <w:webHidden/>
          </w:rPr>
          <w:tab/>
        </w:r>
        <w:r>
          <w:rPr>
            <w:noProof/>
            <w:webHidden/>
          </w:rPr>
          <w:fldChar w:fldCharType="begin"/>
        </w:r>
        <w:r>
          <w:rPr>
            <w:noProof/>
            <w:webHidden/>
          </w:rPr>
          <w:instrText xml:space="preserve"> PAGEREF _Toc481419681 \h </w:instrText>
        </w:r>
        <w:r>
          <w:rPr>
            <w:noProof/>
            <w:webHidden/>
          </w:rPr>
        </w:r>
        <w:r>
          <w:rPr>
            <w:noProof/>
            <w:webHidden/>
          </w:rPr>
          <w:fldChar w:fldCharType="separate"/>
        </w:r>
        <w:r>
          <w:rPr>
            <w:noProof/>
            <w:webHidden/>
          </w:rPr>
          <w:t>iv</w:t>
        </w:r>
        <w:r>
          <w:rPr>
            <w:noProof/>
            <w:webHidden/>
          </w:rPr>
          <w:fldChar w:fldCharType="end"/>
        </w:r>
      </w:hyperlink>
    </w:p>
    <w:p w14:paraId="2A5D0CB9"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82" w:history="1">
        <w:r w:rsidRPr="00CB178D">
          <w:rPr>
            <w:rStyle w:val="Hyperlink"/>
            <w:noProof/>
          </w:rPr>
          <w:t>Section 1. General Measure &amp; Baseline Data</w:t>
        </w:r>
        <w:r>
          <w:rPr>
            <w:noProof/>
            <w:webHidden/>
          </w:rPr>
          <w:tab/>
        </w:r>
        <w:r>
          <w:rPr>
            <w:noProof/>
            <w:webHidden/>
          </w:rPr>
          <w:fldChar w:fldCharType="begin"/>
        </w:r>
        <w:r>
          <w:rPr>
            <w:noProof/>
            <w:webHidden/>
          </w:rPr>
          <w:instrText xml:space="preserve"> PAGEREF _Toc481419682 \h </w:instrText>
        </w:r>
        <w:r>
          <w:rPr>
            <w:noProof/>
            <w:webHidden/>
          </w:rPr>
        </w:r>
        <w:r>
          <w:rPr>
            <w:noProof/>
            <w:webHidden/>
          </w:rPr>
          <w:fldChar w:fldCharType="separate"/>
        </w:r>
        <w:r>
          <w:rPr>
            <w:noProof/>
            <w:webHidden/>
          </w:rPr>
          <w:t>1</w:t>
        </w:r>
        <w:r>
          <w:rPr>
            <w:noProof/>
            <w:webHidden/>
          </w:rPr>
          <w:fldChar w:fldCharType="end"/>
        </w:r>
      </w:hyperlink>
    </w:p>
    <w:p w14:paraId="4EBDDC63"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3" w:history="1">
        <w:r w:rsidRPr="00CB178D">
          <w:rPr>
            <w:rStyle w:val="Hyperlink"/>
            <w:noProof/>
          </w:rPr>
          <w:t>1.1 Product Measure Description &amp; Background</w:t>
        </w:r>
        <w:r>
          <w:rPr>
            <w:noProof/>
            <w:webHidden/>
          </w:rPr>
          <w:tab/>
        </w:r>
        <w:r>
          <w:rPr>
            <w:noProof/>
            <w:webHidden/>
          </w:rPr>
          <w:fldChar w:fldCharType="begin"/>
        </w:r>
        <w:r>
          <w:rPr>
            <w:noProof/>
            <w:webHidden/>
          </w:rPr>
          <w:instrText xml:space="preserve"> PAGEREF _Toc481419683 \h </w:instrText>
        </w:r>
        <w:r>
          <w:rPr>
            <w:noProof/>
            <w:webHidden/>
          </w:rPr>
        </w:r>
        <w:r>
          <w:rPr>
            <w:noProof/>
            <w:webHidden/>
          </w:rPr>
          <w:fldChar w:fldCharType="separate"/>
        </w:r>
        <w:r>
          <w:rPr>
            <w:noProof/>
            <w:webHidden/>
          </w:rPr>
          <w:t>1</w:t>
        </w:r>
        <w:r>
          <w:rPr>
            <w:noProof/>
            <w:webHidden/>
          </w:rPr>
          <w:fldChar w:fldCharType="end"/>
        </w:r>
      </w:hyperlink>
    </w:p>
    <w:p w14:paraId="64BCB13B"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4" w:history="1">
        <w:r w:rsidRPr="00CB178D">
          <w:rPr>
            <w:rStyle w:val="Hyperlink"/>
            <w:noProof/>
          </w:rPr>
          <w:t>1.2 Product Technical Description</w:t>
        </w:r>
        <w:r>
          <w:rPr>
            <w:noProof/>
            <w:webHidden/>
          </w:rPr>
          <w:tab/>
        </w:r>
        <w:r>
          <w:rPr>
            <w:noProof/>
            <w:webHidden/>
          </w:rPr>
          <w:fldChar w:fldCharType="begin"/>
        </w:r>
        <w:r>
          <w:rPr>
            <w:noProof/>
            <w:webHidden/>
          </w:rPr>
          <w:instrText xml:space="preserve"> PAGEREF _Toc481419684 \h </w:instrText>
        </w:r>
        <w:r>
          <w:rPr>
            <w:noProof/>
            <w:webHidden/>
          </w:rPr>
        </w:r>
        <w:r>
          <w:rPr>
            <w:noProof/>
            <w:webHidden/>
          </w:rPr>
          <w:fldChar w:fldCharType="separate"/>
        </w:r>
        <w:r>
          <w:rPr>
            <w:noProof/>
            <w:webHidden/>
          </w:rPr>
          <w:t>1</w:t>
        </w:r>
        <w:r>
          <w:rPr>
            <w:noProof/>
            <w:webHidden/>
          </w:rPr>
          <w:fldChar w:fldCharType="end"/>
        </w:r>
      </w:hyperlink>
    </w:p>
    <w:p w14:paraId="35E81A86"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5" w:history="1">
        <w:r w:rsidRPr="00CB178D">
          <w:rPr>
            <w:rStyle w:val="Hyperlink"/>
            <w:noProof/>
          </w:rPr>
          <w:t>1.3 Measure Application Type</w:t>
        </w:r>
        <w:r>
          <w:rPr>
            <w:noProof/>
            <w:webHidden/>
          </w:rPr>
          <w:tab/>
        </w:r>
        <w:r>
          <w:rPr>
            <w:noProof/>
            <w:webHidden/>
          </w:rPr>
          <w:fldChar w:fldCharType="begin"/>
        </w:r>
        <w:r>
          <w:rPr>
            <w:noProof/>
            <w:webHidden/>
          </w:rPr>
          <w:instrText xml:space="preserve"> PAGEREF _Toc481419685 \h </w:instrText>
        </w:r>
        <w:r>
          <w:rPr>
            <w:noProof/>
            <w:webHidden/>
          </w:rPr>
        </w:r>
        <w:r>
          <w:rPr>
            <w:noProof/>
            <w:webHidden/>
          </w:rPr>
          <w:fldChar w:fldCharType="separate"/>
        </w:r>
        <w:r>
          <w:rPr>
            <w:noProof/>
            <w:webHidden/>
          </w:rPr>
          <w:t>1</w:t>
        </w:r>
        <w:r>
          <w:rPr>
            <w:noProof/>
            <w:webHidden/>
          </w:rPr>
          <w:fldChar w:fldCharType="end"/>
        </w:r>
      </w:hyperlink>
    </w:p>
    <w:p w14:paraId="244E4459"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6" w:history="1">
        <w:r w:rsidRPr="00CB178D">
          <w:rPr>
            <w:rStyle w:val="Hyperlink"/>
            <w:noProof/>
          </w:rPr>
          <w:t>1.4 Product Base Case and Measure Case Data</w:t>
        </w:r>
        <w:r>
          <w:rPr>
            <w:noProof/>
            <w:webHidden/>
          </w:rPr>
          <w:tab/>
        </w:r>
        <w:r>
          <w:rPr>
            <w:noProof/>
            <w:webHidden/>
          </w:rPr>
          <w:fldChar w:fldCharType="begin"/>
        </w:r>
        <w:r>
          <w:rPr>
            <w:noProof/>
            <w:webHidden/>
          </w:rPr>
          <w:instrText xml:space="preserve"> PAGEREF _Toc481419686 \h </w:instrText>
        </w:r>
        <w:r>
          <w:rPr>
            <w:noProof/>
            <w:webHidden/>
          </w:rPr>
        </w:r>
        <w:r>
          <w:rPr>
            <w:noProof/>
            <w:webHidden/>
          </w:rPr>
          <w:fldChar w:fldCharType="separate"/>
        </w:r>
        <w:r>
          <w:rPr>
            <w:noProof/>
            <w:webHidden/>
          </w:rPr>
          <w:t>1</w:t>
        </w:r>
        <w:r>
          <w:rPr>
            <w:noProof/>
            <w:webHidden/>
          </w:rPr>
          <w:fldChar w:fldCharType="end"/>
        </w:r>
      </w:hyperlink>
    </w:p>
    <w:p w14:paraId="69A0D09D"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7" w:history="1">
        <w:r w:rsidRPr="00CB178D">
          <w:rPr>
            <w:rStyle w:val="Hyperlink"/>
            <w:noProof/>
          </w:rPr>
          <w:t>1.4.1 DEER Base Case and Measure Case Information</w:t>
        </w:r>
        <w:r>
          <w:rPr>
            <w:noProof/>
            <w:webHidden/>
          </w:rPr>
          <w:tab/>
        </w:r>
        <w:r>
          <w:rPr>
            <w:noProof/>
            <w:webHidden/>
          </w:rPr>
          <w:fldChar w:fldCharType="begin"/>
        </w:r>
        <w:r>
          <w:rPr>
            <w:noProof/>
            <w:webHidden/>
          </w:rPr>
          <w:instrText xml:space="preserve"> PAGEREF _Toc481419687 \h </w:instrText>
        </w:r>
        <w:r>
          <w:rPr>
            <w:noProof/>
            <w:webHidden/>
          </w:rPr>
        </w:r>
        <w:r>
          <w:rPr>
            <w:noProof/>
            <w:webHidden/>
          </w:rPr>
          <w:fldChar w:fldCharType="separate"/>
        </w:r>
        <w:r>
          <w:rPr>
            <w:noProof/>
            <w:webHidden/>
          </w:rPr>
          <w:t>1</w:t>
        </w:r>
        <w:r>
          <w:rPr>
            <w:noProof/>
            <w:webHidden/>
          </w:rPr>
          <w:fldChar w:fldCharType="end"/>
        </w:r>
      </w:hyperlink>
    </w:p>
    <w:p w14:paraId="596FFF69"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8" w:history="1">
        <w:r w:rsidRPr="00CB178D">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_Toc481419688 \h </w:instrText>
        </w:r>
        <w:r>
          <w:rPr>
            <w:noProof/>
            <w:webHidden/>
          </w:rPr>
        </w:r>
        <w:r>
          <w:rPr>
            <w:noProof/>
            <w:webHidden/>
          </w:rPr>
          <w:fldChar w:fldCharType="separate"/>
        </w:r>
        <w:r>
          <w:rPr>
            <w:noProof/>
            <w:webHidden/>
          </w:rPr>
          <w:t>2</w:t>
        </w:r>
        <w:r>
          <w:rPr>
            <w:noProof/>
            <w:webHidden/>
          </w:rPr>
          <w:fldChar w:fldCharType="end"/>
        </w:r>
      </w:hyperlink>
    </w:p>
    <w:p w14:paraId="38A639F5"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89" w:history="1">
        <w:r w:rsidRPr="00CB178D">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_Toc481419689 \h </w:instrText>
        </w:r>
        <w:r>
          <w:rPr>
            <w:noProof/>
            <w:webHidden/>
          </w:rPr>
        </w:r>
        <w:r>
          <w:rPr>
            <w:noProof/>
            <w:webHidden/>
          </w:rPr>
          <w:fldChar w:fldCharType="separate"/>
        </w:r>
        <w:r>
          <w:rPr>
            <w:noProof/>
            <w:webHidden/>
          </w:rPr>
          <w:t>2</w:t>
        </w:r>
        <w:r>
          <w:rPr>
            <w:noProof/>
            <w:webHidden/>
          </w:rPr>
          <w:fldChar w:fldCharType="end"/>
        </w:r>
      </w:hyperlink>
    </w:p>
    <w:p w14:paraId="5C0A4B89"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0" w:history="1">
        <w:r w:rsidRPr="00CB178D">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_Toc481419690 \h </w:instrText>
        </w:r>
        <w:r>
          <w:rPr>
            <w:noProof/>
            <w:webHidden/>
          </w:rPr>
        </w:r>
        <w:r>
          <w:rPr>
            <w:noProof/>
            <w:webHidden/>
          </w:rPr>
          <w:fldChar w:fldCharType="separate"/>
        </w:r>
        <w:r>
          <w:rPr>
            <w:noProof/>
            <w:webHidden/>
          </w:rPr>
          <w:t>2</w:t>
        </w:r>
        <w:r>
          <w:rPr>
            <w:noProof/>
            <w:webHidden/>
          </w:rPr>
          <w:fldChar w:fldCharType="end"/>
        </w:r>
      </w:hyperlink>
    </w:p>
    <w:p w14:paraId="1200B751"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1" w:history="1">
        <w:r w:rsidRPr="00CB178D">
          <w:rPr>
            <w:rStyle w:val="Hyperlink"/>
            <w:noProof/>
          </w:rPr>
          <w:t>1.4.5 Time-of-Use Adjustment Factor</w:t>
        </w:r>
        <w:r>
          <w:rPr>
            <w:noProof/>
            <w:webHidden/>
          </w:rPr>
          <w:tab/>
        </w:r>
        <w:r>
          <w:rPr>
            <w:noProof/>
            <w:webHidden/>
          </w:rPr>
          <w:fldChar w:fldCharType="begin"/>
        </w:r>
        <w:r>
          <w:rPr>
            <w:noProof/>
            <w:webHidden/>
          </w:rPr>
          <w:instrText xml:space="preserve"> PAGEREF _Toc481419691 \h </w:instrText>
        </w:r>
        <w:r>
          <w:rPr>
            <w:noProof/>
            <w:webHidden/>
          </w:rPr>
        </w:r>
        <w:r>
          <w:rPr>
            <w:noProof/>
            <w:webHidden/>
          </w:rPr>
          <w:fldChar w:fldCharType="separate"/>
        </w:r>
        <w:r>
          <w:rPr>
            <w:noProof/>
            <w:webHidden/>
          </w:rPr>
          <w:t>3</w:t>
        </w:r>
        <w:r>
          <w:rPr>
            <w:noProof/>
            <w:webHidden/>
          </w:rPr>
          <w:fldChar w:fldCharType="end"/>
        </w:r>
      </w:hyperlink>
    </w:p>
    <w:p w14:paraId="40854B29"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2" w:history="1">
        <w:r w:rsidRPr="00CB178D">
          <w:rPr>
            <w:rStyle w:val="Hyperlink"/>
            <w:noProof/>
          </w:rPr>
          <w:t>1.5 Summary of Inputs for Energy Savings Estimates</w:t>
        </w:r>
        <w:r>
          <w:rPr>
            <w:noProof/>
            <w:webHidden/>
          </w:rPr>
          <w:tab/>
        </w:r>
        <w:r>
          <w:rPr>
            <w:noProof/>
            <w:webHidden/>
          </w:rPr>
          <w:fldChar w:fldCharType="begin"/>
        </w:r>
        <w:r>
          <w:rPr>
            <w:noProof/>
            <w:webHidden/>
          </w:rPr>
          <w:instrText xml:space="preserve"> PAGEREF _Toc481419692 \h </w:instrText>
        </w:r>
        <w:r>
          <w:rPr>
            <w:noProof/>
            <w:webHidden/>
          </w:rPr>
        </w:r>
        <w:r>
          <w:rPr>
            <w:noProof/>
            <w:webHidden/>
          </w:rPr>
          <w:fldChar w:fldCharType="separate"/>
        </w:r>
        <w:r>
          <w:rPr>
            <w:noProof/>
            <w:webHidden/>
          </w:rPr>
          <w:t>4</w:t>
        </w:r>
        <w:r>
          <w:rPr>
            <w:noProof/>
            <w:webHidden/>
          </w:rPr>
          <w:fldChar w:fldCharType="end"/>
        </w:r>
      </w:hyperlink>
    </w:p>
    <w:p w14:paraId="54A1283A"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93" w:history="1">
        <w:r w:rsidRPr="00CB178D">
          <w:rPr>
            <w:rStyle w:val="Hyperlink"/>
            <w:noProof/>
          </w:rPr>
          <w:t>Section 2. Calculation Methods</w:t>
        </w:r>
        <w:r>
          <w:rPr>
            <w:noProof/>
            <w:webHidden/>
          </w:rPr>
          <w:tab/>
        </w:r>
        <w:r>
          <w:rPr>
            <w:noProof/>
            <w:webHidden/>
          </w:rPr>
          <w:fldChar w:fldCharType="begin"/>
        </w:r>
        <w:r>
          <w:rPr>
            <w:noProof/>
            <w:webHidden/>
          </w:rPr>
          <w:instrText xml:space="preserve"> PAGEREF _Toc481419693 \h </w:instrText>
        </w:r>
        <w:r>
          <w:rPr>
            <w:noProof/>
            <w:webHidden/>
          </w:rPr>
        </w:r>
        <w:r>
          <w:rPr>
            <w:noProof/>
            <w:webHidden/>
          </w:rPr>
          <w:fldChar w:fldCharType="separate"/>
        </w:r>
        <w:r>
          <w:rPr>
            <w:noProof/>
            <w:webHidden/>
          </w:rPr>
          <w:t>5</w:t>
        </w:r>
        <w:r>
          <w:rPr>
            <w:noProof/>
            <w:webHidden/>
          </w:rPr>
          <w:fldChar w:fldCharType="end"/>
        </w:r>
      </w:hyperlink>
    </w:p>
    <w:p w14:paraId="45912C16"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4" w:history="1">
        <w:r w:rsidRPr="00CB178D">
          <w:rPr>
            <w:rStyle w:val="Hyperlink"/>
            <w:noProof/>
          </w:rPr>
          <w:t>2.1 Electric Energy Savings Estimation Methodologies</w:t>
        </w:r>
        <w:r>
          <w:rPr>
            <w:noProof/>
            <w:webHidden/>
          </w:rPr>
          <w:tab/>
        </w:r>
        <w:r>
          <w:rPr>
            <w:noProof/>
            <w:webHidden/>
          </w:rPr>
          <w:fldChar w:fldCharType="begin"/>
        </w:r>
        <w:r>
          <w:rPr>
            <w:noProof/>
            <w:webHidden/>
          </w:rPr>
          <w:instrText xml:space="preserve"> PAGEREF _Toc481419694 \h </w:instrText>
        </w:r>
        <w:r>
          <w:rPr>
            <w:noProof/>
            <w:webHidden/>
          </w:rPr>
        </w:r>
        <w:r>
          <w:rPr>
            <w:noProof/>
            <w:webHidden/>
          </w:rPr>
          <w:fldChar w:fldCharType="separate"/>
        </w:r>
        <w:r>
          <w:rPr>
            <w:noProof/>
            <w:webHidden/>
          </w:rPr>
          <w:t>5</w:t>
        </w:r>
        <w:r>
          <w:rPr>
            <w:noProof/>
            <w:webHidden/>
          </w:rPr>
          <w:fldChar w:fldCharType="end"/>
        </w:r>
      </w:hyperlink>
    </w:p>
    <w:p w14:paraId="6D551ADC"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5" w:history="1">
        <w:r w:rsidRPr="00CB178D">
          <w:rPr>
            <w:rStyle w:val="Hyperlink"/>
            <w:noProof/>
          </w:rPr>
          <w:t>2.2. Demand Reduction Estimation Methodologies</w:t>
        </w:r>
        <w:r>
          <w:rPr>
            <w:noProof/>
            <w:webHidden/>
          </w:rPr>
          <w:tab/>
        </w:r>
        <w:r>
          <w:rPr>
            <w:noProof/>
            <w:webHidden/>
          </w:rPr>
          <w:fldChar w:fldCharType="begin"/>
        </w:r>
        <w:r>
          <w:rPr>
            <w:noProof/>
            <w:webHidden/>
          </w:rPr>
          <w:instrText xml:space="preserve"> PAGEREF _Toc481419695 \h </w:instrText>
        </w:r>
        <w:r>
          <w:rPr>
            <w:noProof/>
            <w:webHidden/>
          </w:rPr>
        </w:r>
        <w:r>
          <w:rPr>
            <w:noProof/>
            <w:webHidden/>
          </w:rPr>
          <w:fldChar w:fldCharType="separate"/>
        </w:r>
        <w:r>
          <w:rPr>
            <w:noProof/>
            <w:webHidden/>
          </w:rPr>
          <w:t>5</w:t>
        </w:r>
        <w:r>
          <w:rPr>
            <w:noProof/>
            <w:webHidden/>
          </w:rPr>
          <w:fldChar w:fldCharType="end"/>
        </w:r>
      </w:hyperlink>
    </w:p>
    <w:p w14:paraId="74F46613"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6" w:history="1">
        <w:r w:rsidRPr="00CB178D">
          <w:rPr>
            <w:rStyle w:val="Hyperlink"/>
            <w:noProof/>
          </w:rPr>
          <w:t>2.3. Gas Energy Savings Estimates</w:t>
        </w:r>
        <w:r>
          <w:rPr>
            <w:noProof/>
            <w:webHidden/>
          </w:rPr>
          <w:tab/>
        </w:r>
        <w:r>
          <w:rPr>
            <w:noProof/>
            <w:webHidden/>
          </w:rPr>
          <w:fldChar w:fldCharType="begin"/>
        </w:r>
        <w:r>
          <w:rPr>
            <w:noProof/>
            <w:webHidden/>
          </w:rPr>
          <w:instrText xml:space="preserve"> PAGEREF _Toc481419696 \h </w:instrText>
        </w:r>
        <w:r>
          <w:rPr>
            <w:noProof/>
            <w:webHidden/>
          </w:rPr>
        </w:r>
        <w:r>
          <w:rPr>
            <w:noProof/>
            <w:webHidden/>
          </w:rPr>
          <w:fldChar w:fldCharType="separate"/>
        </w:r>
        <w:r>
          <w:rPr>
            <w:noProof/>
            <w:webHidden/>
          </w:rPr>
          <w:t>5</w:t>
        </w:r>
        <w:r>
          <w:rPr>
            <w:noProof/>
            <w:webHidden/>
          </w:rPr>
          <w:fldChar w:fldCharType="end"/>
        </w:r>
      </w:hyperlink>
    </w:p>
    <w:p w14:paraId="5EFCE65B"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7" w:history="1">
        <w:r w:rsidRPr="00CB178D">
          <w:rPr>
            <w:rStyle w:val="Hyperlink"/>
            <w:noProof/>
          </w:rPr>
          <w:t>2.3.1. Gas Energy Savings Estimate for HA10 “Temperature Modulation” Boiler Controller for Multifamily Facilities</w:t>
        </w:r>
        <w:r>
          <w:rPr>
            <w:noProof/>
            <w:webHidden/>
          </w:rPr>
          <w:tab/>
        </w:r>
        <w:r>
          <w:rPr>
            <w:noProof/>
            <w:webHidden/>
          </w:rPr>
          <w:fldChar w:fldCharType="begin"/>
        </w:r>
        <w:r>
          <w:rPr>
            <w:noProof/>
            <w:webHidden/>
          </w:rPr>
          <w:instrText xml:space="preserve"> PAGEREF _Toc481419697 \h </w:instrText>
        </w:r>
        <w:r>
          <w:rPr>
            <w:noProof/>
            <w:webHidden/>
          </w:rPr>
        </w:r>
        <w:r>
          <w:rPr>
            <w:noProof/>
            <w:webHidden/>
          </w:rPr>
          <w:fldChar w:fldCharType="separate"/>
        </w:r>
        <w:r>
          <w:rPr>
            <w:noProof/>
            <w:webHidden/>
          </w:rPr>
          <w:t>5</w:t>
        </w:r>
        <w:r>
          <w:rPr>
            <w:noProof/>
            <w:webHidden/>
          </w:rPr>
          <w:fldChar w:fldCharType="end"/>
        </w:r>
      </w:hyperlink>
    </w:p>
    <w:p w14:paraId="271E09DA"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698" w:history="1">
        <w:r w:rsidRPr="00CB178D">
          <w:rPr>
            <w:rStyle w:val="Hyperlink"/>
            <w:noProof/>
          </w:rPr>
          <w:t>2.3.3. Gas Energy Savings Estimate for HA13 “Temperature Modulation” Boiler Controller for Lodging Facilities</w:t>
        </w:r>
        <w:r>
          <w:rPr>
            <w:noProof/>
            <w:webHidden/>
          </w:rPr>
          <w:tab/>
        </w:r>
        <w:r>
          <w:rPr>
            <w:noProof/>
            <w:webHidden/>
          </w:rPr>
          <w:fldChar w:fldCharType="begin"/>
        </w:r>
        <w:r>
          <w:rPr>
            <w:noProof/>
            <w:webHidden/>
          </w:rPr>
          <w:instrText xml:space="preserve"> PAGEREF _Toc481419698 \h </w:instrText>
        </w:r>
        <w:r>
          <w:rPr>
            <w:noProof/>
            <w:webHidden/>
          </w:rPr>
        </w:r>
        <w:r>
          <w:rPr>
            <w:noProof/>
            <w:webHidden/>
          </w:rPr>
          <w:fldChar w:fldCharType="separate"/>
        </w:r>
        <w:r>
          <w:rPr>
            <w:noProof/>
            <w:webHidden/>
          </w:rPr>
          <w:t>6</w:t>
        </w:r>
        <w:r>
          <w:rPr>
            <w:noProof/>
            <w:webHidden/>
          </w:rPr>
          <w:fldChar w:fldCharType="end"/>
        </w:r>
      </w:hyperlink>
    </w:p>
    <w:p w14:paraId="466CAD09"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699" w:history="1">
        <w:r w:rsidRPr="00CB178D">
          <w:rPr>
            <w:rStyle w:val="Hyperlink"/>
            <w:noProof/>
          </w:rPr>
          <w:t>Section 3. Load Shapes</w:t>
        </w:r>
        <w:r>
          <w:rPr>
            <w:noProof/>
            <w:webHidden/>
          </w:rPr>
          <w:tab/>
        </w:r>
        <w:r>
          <w:rPr>
            <w:noProof/>
            <w:webHidden/>
          </w:rPr>
          <w:fldChar w:fldCharType="begin"/>
        </w:r>
        <w:r>
          <w:rPr>
            <w:noProof/>
            <w:webHidden/>
          </w:rPr>
          <w:instrText xml:space="preserve"> PAGEREF _Toc481419699 \h </w:instrText>
        </w:r>
        <w:r>
          <w:rPr>
            <w:noProof/>
            <w:webHidden/>
          </w:rPr>
        </w:r>
        <w:r>
          <w:rPr>
            <w:noProof/>
            <w:webHidden/>
          </w:rPr>
          <w:fldChar w:fldCharType="separate"/>
        </w:r>
        <w:r>
          <w:rPr>
            <w:noProof/>
            <w:webHidden/>
          </w:rPr>
          <w:t>6</w:t>
        </w:r>
        <w:r>
          <w:rPr>
            <w:noProof/>
            <w:webHidden/>
          </w:rPr>
          <w:fldChar w:fldCharType="end"/>
        </w:r>
      </w:hyperlink>
    </w:p>
    <w:p w14:paraId="52371EFD"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700" w:history="1">
        <w:r w:rsidRPr="00CB178D">
          <w:rPr>
            <w:rStyle w:val="Hyperlink"/>
            <w:noProof/>
          </w:rPr>
          <w:t>Section 4. Base Case &amp; Measure Costs</w:t>
        </w:r>
        <w:r>
          <w:rPr>
            <w:noProof/>
            <w:webHidden/>
          </w:rPr>
          <w:tab/>
        </w:r>
        <w:r>
          <w:rPr>
            <w:noProof/>
            <w:webHidden/>
          </w:rPr>
          <w:fldChar w:fldCharType="begin"/>
        </w:r>
        <w:r>
          <w:rPr>
            <w:noProof/>
            <w:webHidden/>
          </w:rPr>
          <w:instrText xml:space="preserve"> PAGEREF _Toc481419700 \h </w:instrText>
        </w:r>
        <w:r>
          <w:rPr>
            <w:noProof/>
            <w:webHidden/>
          </w:rPr>
        </w:r>
        <w:r>
          <w:rPr>
            <w:noProof/>
            <w:webHidden/>
          </w:rPr>
          <w:fldChar w:fldCharType="separate"/>
        </w:r>
        <w:r>
          <w:rPr>
            <w:noProof/>
            <w:webHidden/>
          </w:rPr>
          <w:t>6</w:t>
        </w:r>
        <w:r>
          <w:rPr>
            <w:noProof/>
            <w:webHidden/>
          </w:rPr>
          <w:fldChar w:fldCharType="end"/>
        </w:r>
      </w:hyperlink>
    </w:p>
    <w:p w14:paraId="27ACBF41"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701" w:history="1">
        <w:r w:rsidRPr="00CB178D">
          <w:rPr>
            <w:rStyle w:val="Hyperlink"/>
            <w:noProof/>
          </w:rPr>
          <w:t>4.1 Base Case Costs</w:t>
        </w:r>
        <w:r>
          <w:rPr>
            <w:noProof/>
            <w:webHidden/>
          </w:rPr>
          <w:tab/>
        </w:r>
        <w:r>
          <w:rPr>
            <w:noProof/>
            <w:webHidden/>
          </w:rPr>
          <w:fldChar w:fldCharType="begin"/>
        </w:r>
        <w:r>
          <w:rPr>
            <w:noProof/>
            <w:webHidden/>
          </w:rPr>
          <w:instrText xml:space="preserve"> PAGEREF _Toc481419701 \h </w:instrText>
        </w:r>
        <w:r>
          <w:rPr>
            <w:noProof/>
            <w:webHidden/>
          </w:rPr>
        </w:r>
        <w:r>
          <w:rPr>
            <w:noProof/>
            <w:webHidden/>
          </w:rPr>
          <w:fldChar w:fldCharType="separate"/>
        </w:r>
        <w:r>
          <w:rPr>
            <w:noProof/>
            <w:webHidden/>
          </w:rPr>
          <w:t>6</w:t>
        </w:r>
        <w:r>
          <w:rPr>
            <w:noProof/>
            <w:webHidden/>
          </w:rPr>
          <w:fldChar w:fldCharType="end"/>
        </w:r>
      </w:hyperlink>
    </w:p>
    <w:p w14:paraId="2931F74F"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702" w:history="1">
        <w:r w:rsidRPr="00CB178D">
          <w:rPr>
            <w:rStyle w:val="Hyperlink"/>
            <w:noProof/>
          </w:rPr>
          <w:t>4.2 Measure Case Costs</w:t>
        </w:r>
        <w:r>
          <w:rPr>
            <w:noProof/>
            <w:webHidden/>
          </w:rPr>
          <w:tab/>
        </w:r>
        <w:r>
          <w:rPr>
            <w:noProof/>
            <w:webHidden/>
          </w:rPr>
          <w:fldChar w:fldCharType="begin"/>
        </w:r>
        <w:r>
          <w:rPr>
            <w:noProof/>
            <w:webHidden/>
          </w:rPr>
          <w:instrText xml:space="preserve"> PAGEREF _Toc481419702 \h </w:instrText>
        </w:r>
        <w:r>
          <w:rPr>
            <w:noProof/>
            <w:webHidden/>
          </w:rPr>
        </w:r>
        <w:r>
          <w:rPr>
            <w:noProof/>
            <w:webHidden/>
          </w:rPr>
          <w:fldChar w:fldCharType="separate"/>
        </w:r>
        <w:r>
          <w:rPr>
            <w:noProof/>
            <w:webHidden/>
          </w:rPr>
          <w:t>6</w:t>
        </w:r>
        <w:r>
          <w:rPr>
            <w:noProof/>
            <w:webHidden/>
          </w:rPr>
          <w:fldChar w:fldCharType="end"/>
        </w:r>
      </w:hyperlink>
    </w:p>
    <w:p w14:paraId="7CE94B3E"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703" w:history="1">
        <w:r w:rsidRPr="00CB178D">
          <w:rPr>
            <w:rStyle w:val="Hyperlink"/>
            <w:noProof/>
          </w:rPr>
          <w:t>4.3 Incremental &amp; Full Measure Costs</w:t>
        </w:r>
        <w:r>
          <w:rPr>
            <w:noProof/>
            <w:webHidden/>
          </w:rPr>
          <w:tab/>
        </w:r>
        <w:r>
          <w:rPr>
            <w:noProof/>
            <w:webHidden/>
          </w:rPr>
          <w:fldChar w:fldCharType="begin"/>
        </w:r>
        <w:r>
          <w:rPr>
            <w:noProof/>
            <w:webHidden/>
          </w:rPr>
          <w:instrText xml:space="preserve"> PAGEREF _Toc481419703 \h </w:instrText>
        </w:r>
        <w:r>
          <w:rPr>
            <w:noProof/>
            <w:webHidden/>
          </w:rPr>
        </w:r>
        <w:r>
          <w:rPr>
            <w:noProof/>
            <w:webHidden/>
          </w:rPr>
          <w:fldChar w:fldCharType="separate"/>
        </w:r>
        <w:r>
          <w:rPr>
            <w:noProof/>
            <w:webHidden/>
          </w:rPr>
          <w:t>6</w:t>
        </w:r>
        <w:r>
          <w:rPr>
            <w:noProof/>
            <w:webHidden/>
          </w:rPr>
          <w:fldChar w:fldCharType="end"/>
        </w:r>
      </w:hyperlink>
    </w:p>
    <w:p w14:paraId="1CF8768C"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704" w:history="1">
        <w:r w:rsidRPr="00CB178D">
          <w:rPr>
            <w:rStyle w:val="Hyperlink"/>
            <w:noProof/>
          </w:rPr>
          <w:t>4.3.1 Gross Measure Cost</w:t>
        </w:r>
        <w:r>
          <w:rPr>
            <w:noProof/>
            <w:webHidden/>
          </w:rPr>
          <w:tab/>
        </w:r>
        <w:r>
          <w:rPr>
            <w:noProof/>
            <w:webHidden/>
          </w:rPr>
          <w:fldChar w:fldCharType="begin"/>
        </w:r>
        <w:r>
          <w:rPr>
            <w:noProof/>
            <w:webHidden/>
          </w:rPr>
          <w:instrText xml:space="preserve"> PAGEREF _Toc481419704 \h </w:instrText>
        </w:r>
        <w:r>
          <w:rPr>
            <w:noProof/>
            <w:webHidden/>
          </w:rPr>
        </w:r>
        <w:r>
          <w:rPr>
            <w:noProof/>
            <w:webHidden/>
          </w:rPr>
          <w:fldChar w:fldCharType="separate"/>
        </w:r>
        <w:r>
          <w:rPr>
            <w:noProof/>
            <w:webHidden/>
          </w:rPr>
          <w:t>7</w:t>
        </w:r>
        <w:r>
          <w:rPr>
            <w:noProof/>
            <w:webHidden/>
          </w:rPr>
          <w:fldChar w:fldCharType="end"/>
        </w:r>
      </w:hyperlink>
    </w:p>
    <w:p w14:paraId="02E8976E" w14:textId="77777777" w:rsidR="00F35B05" w:rsidRDefault="00F35B05">
      <w:pPr>
        <w:pStyle w:val="TOC2"/>
        <w:tabs>
          <w:tab w:val="right" w:leader="dot" w:pos="9350"/>
        </w:tabs>
        <w:rPr>
          <w:rFonts w:asciiTheme="minorHAnsi" w:eastAsiaTheme="minorEastAsia" w:hAnsiTheme="minorHAnsi" w:cstheme="minorBidi"/>
          <w:noProof/>
          <w:szCs w:val="22"/>
        </w:rPr>
      </w:pPr>
      <w:hyperlink w:anchor="_Toc481419705" w:history="1">
        <w:r w:rsidRPr="00CB178D">
          <w:rPr>
            <w:rStyle w:val="Hyperlink"/>
            <w:noProof/>
          </w:rPr>
          <w:t>4.3.2 Incremental Measure Cost</w:t>
        </w:r>
        <w:r>
          <w:rPr>
            <w:noProof/>
            <w:webHidden/>
          </w:rPr>
          <w:tab/>
        </w:r>
        <w:r>
          <w:rPr>
            <w:noProof/>
            <w:webHidden/>
          </w:rPr>
          <w:fldChar w:fldCharType="begin"/>
        </w:r>
        <w:r>
          <w:rPr>
            <w:noProof/>
            <w:webHidden/>
          </w:rPr>
          <w:instrText xml:space="preserve"> PAGEREF _Toc481419705 \h </w:instrText>
        </w:r>
        <w:r>
          <w:rPr>
            <w:noProof/>
            <w:webHidden/>
          </w:rPr>
        </w:r>
        <w:r>
          <w:rPr>
            <w:noProof/>
            <w:webHidden/>
          </w:rPr>
          <w:fldChar w:fldCharType="separate"/>
        </w:r>
        <w:r>
          <w:rPr>
            <w:noProof/>
            <w:webHidden/>
          </w:rPr>
          <w:t>7</w:t>
        </w:r>
        <w:r>
          <w:rPr>
            <w:noProof/>
            <w:webHidden/>
          </w:rPr>
          <w:fldChar w:fldCharType="end"/>
        </w:r>
      </w:hyperlink>
    </w:p>
    <w:p w14:paraId="3005FDC6" w14:textId="77777777" w:rsidR="00F35B05" w:rsidRDefault="00F35B05">
      <w:pPr>
        <w:pStyle w:val="TOC1"/>
        <w:tabs>
          <w:tab w:val="right" w:leader="dot" w:pos="9350"/>
        </w:tabs>
        <w:rPr>
          <w:rFonts w:asciiTheme="minorHAnsi" w:eastAsiaTheme="minorEastAsia" w:hAnsiTheme="minorHAnsi" w:cstheme="minorBidi"/>
          <w:noProof/>
          <w:szCs w:val="22"/>
        </w:rPr>
      </w:pPr>
      <w:hyperlink w:anchor="_Toc481419706" w:history="1">
        <w:r w:rsidRPr="00CB178D">
          <w:rPr>
            <w:rStyle w:val="Hyperlink"/>
            <w:noProof/>
          </w:rPr>
          <w:t>References</w:t>
        </w:r>
        <w:r>
          <w:rPr>
            <w:noProof/>
            <w:webHidden/>
          </w:rPr>
          <w:tab/>
        </w:r>
        <w:r>
          <w:rPr>
            <w:noProof/>
            <w:webHidden/>
          </w:rPr>
          <w:fldChar w:fldCharType="begin"/>
        </w:r>
        <w:r>
          <w:rPr>
            <w:noProof/>
            <w:webHidden/>
          </w:rPr>
          <w:instrText xml:space="preserve"> PAGEREF _Toc481419706 \h </w:instrText>
        </w:r>
        <w:r>
          <w:rPr>
            <w:noProof/>
            <w:webHidden/>
          </w:rPr>
        </w:r>
        <w:r>
          <w:rPr>
            <w:noProof/>
            <w:webHidden/>
          </w:rPr>
          <w:fldChar w:fldCharType="separate"/>
        </w:r>
        <w:r>
          <w:rPr>
            <w:noProof/>
            <w:webHidden/>
          </w:rPr>
          <w:t>8</w:t>
        </w:r>
        <w:r>
          <w:rPr>
            <w:noProof/>
            <w:webHidden/>
          </w:rPr>
          <w:fldChar w:fldCharType="end"/>
        </w:r>
      </w:hyperlink>
    </w:p>
    <w:p w14:paraId="7DEFCC25" w14:textId="77777777" w:rsidR="00642249" w:rsidRDefault="001E4C31" w:rsidP="00DB672D">
      <w:pPr>
        <w:rPr>
          <w:b/>
          <w:bCs/>
          <w:noProof/>
        </w:rPr>
      </w:pPr>
      <w:r>
        <w:rPr>
          <w:b/>
          <w:bCs/>
          <w:noProof/>
        </w:rPr>
        <w:fldChar w:fldCharType="end"/>
      </w:r>
    </w:p>
    <w:p w14:paraId="5A29CAC7" w14:textId="77777777" w:rsidR="00F35B05" w:rsidRDefault="006560E4" w:rsidP="006560E4">
      <w:pPr>
        <w:pStyle w:val="Heading1"/>
        <w:rPr>
          <w:noProof/>
        </w:rPr>
      </w:pPr>
      <w:bookmarkStart w:id="17" w:name="_Toc172205729"/>
      <w:bookmarkStart w:id="18" w:name="_Toc304800199"/>
      <w:bookmarkStart w:id="19" w:name="_Toc324318335"/>
      <w:bookmarkStart w:id="20" w:name="_Toc324340479"/>
      <w:bookmarkStart w:id="21" w:name="_Toc327958990"/>
      <w:bookmarkStart w:id="22" w:name="_Toc481419681"/>
      <w:r w:rsidRPr="006560E4">
        <w:t>List of Tables</w:t>
      </w:r>
      <w:bookmarkStart w:id="23" w:name="_Toc304800201"/>
      <w:bookmarkStart w:id="24" w:name="_Toc324318337"/>
      <w:bookmarkStart w:id="25" w:name="_Toc324340481"/>
      <w:bookmarkStart w:id="26" w:name="_Toc172205732"/>
      <w:bookmarkEnd w:id="17"/>
      <w:bookmarkEnd w:id="18"/>
      <w:bookmarkEnd w:id="19"/>
      <w:bookmarkEnd w:id="20"/>
      <w:bookmarkEnd w:id="21"/>
      <w:bookmarkEnd w:id="22"/>
      <w:r w:rsidR="005376FD" w:rsidRPr="006560E4">
        <w:fldChar w:fldCharType="begin"/>
      </w:r>
      <w:r w:rsidR="005376FD" w:rsidRPr="006560E4">
        <w:instrText xml:space="preserve"> TOC \h \z \c "Table" </w:instrText>
      </w:r>
      <w:r w:rsidR="005376FD" w:rsidRPr="006560E4">
        <w:fldChar w:fldCharType="separate"/>
      </w:r>
    </w:p>
    <w:p w14:paraId="10551A46" w14:textId="77777777" w:rsidR="00F35B05" w:rsidRDefault="00F35B05">
      <w:pPr>
        <w:pStyle w:val="TableofFigures"/>
        <w:tabs>
          <w:tab w:val="right" w:leader="dot" w:pos="9350"/>
        </w:tabs>
        <w:rPr>
          <w:rFonts w:asciiTheme="minorHAnsi" w:eastAsiaTheme="minorEastAsia" w:hAnsiTheme="minorHAnsi" w:cstheme="minorBidi"/>
          <w:noProof/>
          <w:szCs w:val="22"/>
        </w:rPr>
      </w:pPr>
      <w:hyperlink w:anchor="_Toc481419707" w:history="1">
        <w:r w:rsidRPr="00D427BB">
          <w:rPr>
            <w:rStyle w:val="Hyperlink"/>
            <w:noProof/>
          </w:rPr>
          <w:t>Table 1. DEER Use and Technology Table</w:t>
        </w:r>
        <w:r>
          <w:rPr>
            <w:noProof/>
            <w:webHidden/>
          </w:rPr>
          <w:tab/>
        </w:r>
        <w:r>
          <w:rPr>
            <w:noProof/>
            <w:webHidden/>
          </w:rPr>
          <w:fldChar w:fldCharType="begin"/>
        </w:r>
        <w:r>
          <w:rPr>
            <w:noProof/>
            <w:webHidden/>
          </w:rPr>
          <w:instrText xml:space="preserve"> PAGEREF _Toc481419707 \h </w:instrText>
        </w:r>
        <w:r>
          <w:rPr>
            <w:noProof/>
            <w:webHidden/>
          </w:rPr>
        </w:r>
        <w:r>
          <w:rPr>
            <w:noProof/>
            <w:webHidden/>
          </w:rPr>
          <w:fldChar w:fldCharType="separate"/>
        </w:r>
        <w:r>
          <w:rPr>
            <w:noProof/>
            <w:webHidden/>
          </w:rPr>
          <w:t>1</w:t>
        </w:r>
        <w:r>
          <w:rPr>
            <w:noProof/>
            <w:webHidden/>
          </w:rPr>
          <w:fldChar w:fldCharType="end"/>
        </w:r>
      </w:hyperlink>
    </w:p>
    <w:p w14:paraId="2BDDAB13" w14:textId="77777777" w:rsidR="00F35B05" w:rsidRDefault="00F35B05">
      <w:pPr>
        <w:pStyle w:val="TableofFigures"/>
        <w:tabs>
          <w:tab w:val="right" w:leader="dot" w:pos="9350"/>
        </w:tabs>
        <w:rPr>
          <w:rFonts w:asciiTheme="minorHAnsi" w:eastAsiaTheme="minorEastAsia" w:hAnsiTheme="minorHAnsi" w:cstheme="minorBidi"/>
          <w:noProof/>
          <w:szCs w:val="22"/>
        </w:rPr>
      </w:pPr>
      <w:hyperlink w:anchor="_Toc481419708" w:history="1">
        <w:r w:rsidRPr="00D427BB">
          <w:rPr>
            <w:rStyle w:val="Hyperlink"/>
            <w:noProof/>
          </w:rPr>
          <w:t xml:space="preserve">Table 2. </w:t>
        </w:r>
        <w:r w:rsidRPr="00D427BB">
          <w:rPr>
            <w:rStyle w:val="Hyperlink"/>
            <w:rFonts w:cs="Arial"/>
            <w:noProof/>
          </w:rPr>
          <w:t>Summary of Inputs for Energy Savings Estimates for Multifamily Facilities</w:t>
        </w:r>
        <w:r>
          <w:rPr>
            <w:noProof/>
            <w:webHidden/>
          </w:rPr>
          <w:tab/>
        </w:r>
        <w:r>
          <w:rPr>
            <w:noProof/>
            <w:webHidden/>
          </w:rPr>
          <w:fldChar w:fldCharType="begin"/>
        </w:r>
        <w:r>
          <w:rPr>
            <w:noProof/>
            <w:webHidden/>
          </w:rPr>
          <w:instrText xml:space="preserve"> PAGEREF _Toc481419708 \h </w:instrText>
        </w:r>
        <w:r>
          <w:rPr>
            <w:noProof/>
            <w:webHidden/>
          </w:rPr>
        </w:r>
        <w:r>
          <w:rPr>
            <w:noProof/>
            <w:webHidden/>
          </w:rPr>
          <w:fldChar w:fldCharType="separate"/>
        </w:r>
        <w:r>
          <w:rPr>
            <w:noProof/>
            <w:webHidden/>
          </w:rPr>
          <w:t>4</w:t>
        </w:r>
        <w:r>
          <w:rPr>
            <w:noProof/>
            <w:webHidden/>
          </w:rPr>
          <w:fldChar w:fldCharType="end"/>
        </w:r>
      </w:hyperlink>
    </w:p>
    <w:p w14:paraId="71F8C1DB" w14:textId="77777777" w:rsidR="00F35B05" w:rsidRDefault="00F35B05">
      <w:pPr>
        <w:pStyle w:val="TableofFigures"/>
        <w:tabs>
          <w:tab w:val="right" w:leader="dot" w:pos="9350"/>
        </w:tabs>
        <w:rPr>
          <w:rFonts w:asciiTheme="minorHAnsi" w:eastAsiaTheme="minorEastAsia" w:hAnsiTheme="minorHAnsi" w:cstheme="minorBidi"/>
          <w:noProof/>
          <w:szCs w:val="22"/>
        </w:rPr>
      </w:pPr>
      <w:hyperlink w:anchor="_Toc481419709" w:history="1">
        <w:r w:rsidRPr="00D427BB">
          <w:rPr>
            <w:rStyle w:val="Hyperlink"/>
            <w:noProof/>
          </w:rPr>
          <w:t xml:space="preserve">Table 3. </w:t>
        </w:r>
        <w:r w:rsidRPr="00D427BB">
          <w:rPr>
            <w:rStyle w:val="Hyperlink"/>
            <w:rFonts w:cs="Arial"/>
            <w:noProof/>
          </w:rPr>
          <w:t>Summary of Inputs for Energy Savings Estimates for Lodging Facilities</w:t>
        </w:r>
        <w:r>
          <w:rPr>
            <w:noProof/>
            <w:webHidden/>
          </w:rPr>
          <w:tab/>
        </w:r>
        <w:r>
          <w:rPr>
            <w:noProof/>
            <w:webHidden/>
          </w:rPr>
          <w:fldChar w:fldCharType="begin"/>
        </w:r>
        <w:r>
          <w:rPr>
            <w:noProof/>
            <w:webHidden/>
          </w:rPr>
          <w:instrText xml:space="preserve"> PAGEREF _Toc481419709 \h </w:instrText>
        </w:r>
        <w:r>
          <w:rPr>
            <w:noProof/>
            <w:webHidden/>
          </w:rPr>
        </w:r>
        <w:r>
          <w:rPr>
            <w:noProof/>
            <w:webHidden/>
          </w:rPr>
          <w:fldChar w:fldCharType="separate"/>
        </w:r>
        <w:r>
          <w:rPr>
            <w:noProof/>
            <w:webHidden/>
          </w:rPr>
          <w:t>5</w:t>
        </w:r>
        <w:r>
          <w:rPr>
            <w:noProof/>
            <w:webHidden/>
          </w:rPr>
          <w:fldChar w:fldCharType="end"/>
        </w:r>
      </w:hyperlink>
    </w:p>
    <w:p w14:paraId="6F31D31C" w14:textId="77777777" w:rsidR="00F35B05" w:rsidRDefault="00F35B05">
      <w:pPr>
        <w:pStyle w:val="TableofFigures"/>
        <w:tabs>
          <w:tab w:val="right" w:leader="dot" w:pos="9350"/>
        </w:tabs>
        <w:rPr>
          <w:rFonts w:asciiTheme="minorHAnsi" w:eastAsiaTheme="minorEastAsia" w:hAnsiTheme="minorHAnsi" w:cstheme="minorBidi"/>
          <w:noProof/>
          <w:szCs w:val="22"/>
        </w:rPr>
      </w:pPr>
      <w:hyperlink w:anchor="_Toc481419710" w:history="1">
        <w:r w:rsidRPr="00D427BB">
          <w:rPr>
            <w:rStyle w:val="Hyperlink"/>
            <w:rFonts w:cs="Arial"/>
            <w:noProof/>
          </w:rPr>
          <w:t>Table 4. Measure Equipment Costs</w:t>
        </w:r>
        <w:r>
          <w:rPr>
            <w:noProof/>
            <w:webHidden/>
          </w:rPr>
          <w:tab/>
        </w:r>
        <w:r>
          <w:rPr>
            <w:noProof/>
            <w:webHidden/>
          </w:rPr>
          <w:fldChar w:fldCharType="begin"/>
        </w:r>
        <w:r>
          <w:rPr>
            <w:noProof/>
            <w:webHidden/>
          </w:rPr>
          <w:instrText xml:space="preserve"> PAGEREF _Toc481419710 \h </w:instrText>
        </w:r>
        <w:r>
          <w:rPr>
            <w:noProof/>
            <w:webHidden/>
          </w:rPr>
        </w:r>
        <w:r>
          <w:rPr>
            <w:noProof/>
            <w:webHidden/>
          </w:rPr>
          <w:fldChar w:fldCharType="separate"/>
        </w:r>
        <w:r>
          <w:rPr>
            <w:noProof/>
            <w:webHidden/>
          </w:rPr>
          <w:t>6</w:t>
        </w:r>
        <w:r>
          <w:rPr>
            <w:noProof/>
            <w:webHidden/>
          </w:rPr>
          <w:fldChar w:fldCharType="end"/>
        </w:r>
      </w:hyperlink>
    </w:p>
    <w:p w14:paraId="7DEFCC2B" w14:textId="77777777" w:rsidR="00056348" w:rsidRDefault="005376FD" w:rsidP="005376FD">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r w:rsidRPr="006560E4">
        <w:rPr>
          <w:sz w:val="20"/>
          <w:szCs w:val="20"/>
        </w:rPr>
        <w:fldChar w:fldCharType="end"/>
      </w:r>
      <w:bookmarkStart w:id="27" w:name="_GoBack"/>
      <w:bookmarkEnd w:id="27"/>
    </w:p>
    <w:p w14:paraId="7DEFCC2C" w14:textId="77777777" w:rsidR="00ED21EE" w:rsidRPr="00172D7D" w:rsidRDefault="006A1117" w:rsidP="00172D7D">
      <w:pPr>
        <w:pStyle w:val="Heading1"/>
      </w:pPr>
      <w:bookmarkStart w:id="28" w:name="_Toc481419682"/>
      <w:proofErr w:type="gramStart"/>
      <w:r w:rsidRPr="00172D7D">
        <w:lastRenderedPageBreak/>
        <w:t>Section 1.</w:t>
      </w:r>
      <w:proofErr w:type="gramEnd"/>
      <w:r w:rsidRPr="00172D7D">
        <w:t xml:space="preserve"> </w:t>
      </w:r>
      <w:r w:rsidR="00ED21EE" w:rsidRPr="00172D7D">
        <w:t>General Measure &amp; Baseline Data</w:t>
      </w:r>
      <w:bookmarkEnd w:id="23"/>
      <w:bookmarkEnd w:id="24"/>
      <w:bookmarkEnd w:id="25"/>
      <w:bookmarkEnd w:id="28"/>
    </w:p>
    <w:p w14:paraId="7DEFCC2D" w14:textId="77777777" w:rsidR="00E71EF1" w:rsidRDefault="001248A3" w:rsidP="006A1117">
      <w:pPr>
        <w:pStyle w:val="Heading2"/>
      </w:pPr>
      <w:bookmarkStart w:id="29" w:name="_Toc304800202"/>
      <w:bookmarkStart w:id="30" w:name="_Toc324318338"/>
      <w:bookmarkStart w:id="31" w:name="_Toc324340482"/>
      <w:bookmarkStart w:id="32" w:name="_Toc481419683"/>
      <w:bookmarkEnd w:id="26"/>
      <w:r>
        <w:t xml:space="preserve">1.1 </w:t>
      </w:r>
      <w:r w:rsidR="008C6AD1">
        <w:t xml:space="preserve">Product </w:t>
      </w:r>
      <w:r w:rsidR="00E71EF1" w:rsidRPr="001248A3">
        <w:t>Measure Description &amp; Background</w:t>
      </w:r>
      <w:bookmarkEnd w:id="29"/>
      <w:bookmarkEnd w:id="30"/>
      <w:bookmarkEnd w:id="31"/>
      <w:bookmarkEnd w:id="32"/>
    </w:p>
    <w:p w14:paraId="7DEFCC2E" w14:textId="510FB10C" w:rsidR="006A1117" w:rsidRPr="00F766DA" w:rsidRDefault="00521920" w:rsidP="006A1117">
      <w:pPr>
        <w:rPr>
          <w:rFonts w:cs="Arial"/>
          <w:sz w:val="20"/>
          <w:szCs w:val="20"/>
        </w:rPr>
      </w:pPr>
      <w:r w:rsidRPr="00F766DA">
        <w:rPr>
          <w:rFonts w:cs="Arial"/>
          <w:sz w:val="20"/>
          <w:szCs w:val="20"/>
        </w:rPr>
        <w:t>Catalog Description</w:t>
      </w:r>
      <w:r w:rsidR="00A4391E" w:rsidRPr="00F766DA">
        <w:rPr>
          <w:rFonts w:cs="Arial"/>
          <w:sz w:val="20"/>
          <w:szCs w:val="20"/>
        </w:rPr>
        <w:t xml:space="preserve">:  This </w:t>
      </w:r>
      <w:proofErr w:type="spellStart"/>
      <w:r w:rsidR="00A4391E" w:rsidRPr="00F766DA">
        <w:rPr>
          <w:rFonts w:cs="Arial"/>
          <w:sz w:val="20"/>
          <w:szCs w:val="20"/>
        </w:rPr>
        <w:t>workpaper</w:t>
      </w:r>
      <w:proofErr w:type="spellEnd"/>
      <w:r w:rsidR="00A4391E" w:rsidRPr="00F766DA">
        <w:rPr>
          <w:rFonts w:cs="Arial"/>
          <w:sz w:val="20"/>
          <w:szCs w:val="20"/>
        </w:rPr>
        <w:t xml:space="preserve"> for qualifying multifamily and lodging facilities in the PG&amp;E gas service area covers the </w:t>
      </w:r>
      <w:r w:rsidR="000240A4" w:rsidRPr="00F766DA">
        <w:rPr>
          <w:rFonts w:cs="Arial"/>
          <w:sz w:val="20"/>
          <w:szCs w:val="20"/>
        </w:rPr>
        <w:t>retrofit</w:t>
      </w:r>
      <w:r w:rsidR="00F766DA">
        <w:rPr>
          <w:rFonts w:cs="Arial"/>
          <w:sz w:val="20"/>
          <w:szCs w:val="20"/>
        </w:rPr>
        <w:t xml:space="preserve"> of </w:t>
      </w:r>
      <w:r w:rsidR="00F542B7">
        <w:rPr>
          <w:rFonts w:cs="Arial"/>
          <w:sz w:val="20"/>
          <w:szCs w:val="20"/>
        </w:rPr>
        <w:t xml:space="preserve">a </w:t>
      </w:r>
      <w:r w:rsidR="00A4391E" w:rsidRPr="00F766DA">
        <w:rPr>
          <w:rFonts w:cs="Arial"/>
          <w:sz w:val="20"/>
          <w:szCs w:val="20"/>
        </w:rPr>
        <w:t xml:space="preserve">new “temperature modulation” </w:t>
      </w:r>
      <w:r w:rsidR="00B20F82">
        <w:rPr>
          <w:rFonts w:cs="Arial"/>
          <w:sz w:val="20"/>
          <w:szCs w:val="20"/>
        </w:rPr>
        <w:t xml:space="preserve">boiler </w:t>
      </w:r>
      <w:r w:rsidR="00A4391E" w:rsidRPr="00F766DA">
        <w:rPr>
          <w:rFonts w:cs="Arial"/>
          <w:sz w:val="20"/>
          <w:szCs w:val="20"/>
        </w:rPr>
        <w:t xml:space="preserve">controller </w:t>
      </w:r>
      <w:r w:rsidR="000240A4" w:rsidRPr="00F766DA">
        <w:rPr>
          <w:rFonts w:cs="Arial"/>
          <w:sz w:val="20"/>
          <w:szCs w:val="20"/>
        </w:rPr>
        <w:t xml:space="preserve">in the central water heating system </w:t>
      </w:r>
      <w:r w:rsidR="00A4391E" w:rsidRPr="00F766DA">
        <w:rPr>
          <w:rFonts w:cs="Arial"/>
          <w:sz w:val="20"/>
          <w:szCs w:val="20"/>
        </w:rPr>
        <w:t>for minimizing the supply &amp; return water temperatures and piping heat losses.</w:t>
      </w:r>
      <w:r w:rsidR="00296940">
        <w:rPr>
          <w:rFonts w:cs="Arial"/>
          <w:sz w:val="20"/>
          <w:szCs w:val="20"/>
        </w:rPr>
        <w:t xml:space="preserve">  Some multifamily or lodging facilities may require more than one boiler controller.  The total gas savings and total rebate amount</w:t>
      </w:r>
      <w:r w:rsidR="004634DD">
        <w:rPr>
          <w:rFonts w:cs="Arial"/>
          <w:sz w:val="20"/>
          <w:szCs w:val="20"/>
        </w:rPr>
        <w:t>s are</w:t>
      </w:r>
      <w:r w:rsidR="00296940">
        <w:rPr>
          <w:rFonts w:cs="Arial"/>
          <w:sz w:val="20"/>
          <w:szCs w:val="20"/>
        </w:rPr>
        <w:t xml:space="preserve"> based on the number of multifamily dwelling units or lodging guest rooms controlled by the new boiler controller or controllers.  </w:t>
      </w:r>
      <w:r w:rsidR="00A4391E" w:rsidRPr="00F766DA">
        <w:rPr>
          <w:rFonts w:cs="Arial"/>
          <w:sz w:val="20"/>
          <w:szCs w:val="20"/>
        </w:rPr>
        <w:t xml:space="preserve">The </w:t>
      </w:r>
      <w:r w:rsidR="007F3F18">
        <w:rPr>
          <w:rFonts w:cs="Arial"/>
          <w:sz w:val="20"/>
          <w:szCs w:val="20"/>
        </w:rPr>
        <w:t xml:space="preserve">“no control” </w:t>
      </w:r>
      <w:r w:rsidR="00A4391E" w:rsidRPr="00F766DA">
        <w:rPr>
          <w:rFonts w:cs="Arial"/>
          <w:sz w:val="20"/>
          <w:szCs w:val="20"/>
        </w:rPr>
        <w:t>base case is the existing</w:t>
      </w:r>
      <w:r w:rsidR="00296940">
        <w:rPr>
          <w:rFonts w:cs="Arial"/>
          <w:sz w:val="20"/>
          <w:szCs w:val="20"/>
        </w:rPr>
        <w:t xml:space="preserve"> water heating system without </w:t>
      </w:r>
      <w:r w:rsidR="00A4391E" w:rsidRPr="00F766DA">
        <w:rPr>
          <w:rFonts w:cs="Arial"/>
          <w:sz w:val="20"/>
          <w:szCs w:val="20"/>
        </w:rPr>
        <w:t xml:space="preserve">“temperature modulation” </w:t>
      </w:r>
      <w:r w:rsidR="00B20F82">
        <w:rPr>
          <w:rFonts w:cs="Arial"/>
          <w:sz w:val="20"/>
          <w:szCs w:val="20"/>
        </w:rPr>
        <w:t xml:space="preserve">boiler </w:t>
      </w:r>
      <w:r w:rsidR="00296940">
        <w:rPr>
          <w:rFonts w:cs="Arial"/>
          <w:sz w:val="20"/>
          <w:szCs w:val="20"/>
        </w:rPr>
        <w:t>control</w:t>
      </w:r>
      <w:r w:rsidR="00A4391E" w:rsidRPr="00F766DA">
        <w:rPr>
          <w:rFonts w:cs="Arial"/>
          <w:sz w:val="20"/>
          <w:szCs w:val="20"/>
        </w:rPr>
        <w:t xml:space="preserve">.  </w:t>
      </w:r>
      <w:r w:rsidR="00F5238B">
        <w:rPr>
          <w:rFonts w:cs="Arial"/>
          <w:sz w:val="20"/>
          <w:szCs w:val="20"/>
        </w:rPr>
        <w:t xml:space="preserve">The </w:t>
      </w:r>
      <w:r w:rsidR="00635B9F">
        <w:rPr>
          <w:rFonts w:cs="Arial"/>
          <w:sz w:val="20"/>
          <w:szCs w:val="20"/>
        </w:rPr>
        <w:t>HA10</w:t>
      </w:r>
      <w:r w:rsidR="00A4391E" w:rsidRPr="00F766DA">
        <w:rPr>
          <w:rFonts w:cs="Arial"/>
          <w:sz w:val="20"/>
          <w:szCs w:val="20"/>
        </w:rPr>
        <w:t xml:space="preserve"> </w:t>
      </w:r>
      <w:r w:rsidR="00F5238B">
        <w:rPr>
          <w:rFonts w:cs="Arial"/>
          <w:sz w:val="20"/>
          <w:szCs w:val="20"/>
        </w:rPr>
        <w:t xml:space="preserve">“temperature modulation” boiler controller </w:t>
      </w:r>
      <w:r w:rsidR="009839EF">
        <w:rPr>
          <w:rFonts w:cs="Arial"/>
          <w:sz w:val="20"/>
          <w:szCs w:val="20"/>
        </w:rPr>
        <w:t xml:space="preserve">measure </w:t>
      </w:r>
      <w:r w:rsidR="00F5238B">
        <w:rPr>
          <w:rFonts w:cs="Arial"/>
          <w:sz w:val="20"/>
          <w:szCs w:val="20"/>
        </w:rPr>
        <w:t xml:space="preserve">saves about 2.0 </w:t>
      </w:r>
      <w:proofErr w:type="spellStart"/>
      <w:r w:rsidR="00F5238B">
        <w:rPr>
          <w:rFonts w:cs="Arial"/>
          <w:sz w:val="20"/>
          <w:szCs w:val="20"/>
        </w:rPr>
        <w:t>therms</w:t>
      </w:r>
      <w:proofErr w:type="spellEnd"/>
      <w:r w:rsidR="00F5238B">
        <w:rPr>
          <w:rFonts w:cs="Arial"/>
          <w:sz w:val="20"/>
          <w:szCs w:val="20"/>
        </w:rPr>
        <w:t>/multifamily dwelling unit/yr</w:t>
      </w:r>
      <w:r w:rsidR="005349FA">
        <w:rPr>
          <w:rFonts w:cs="Arial"/>
          <w:sz w:val="20"/>
          <w:szCs w:val="20"/>
        </w:rPr>
        <w:t xml:space="preserve">. </w:t>
      </w:r>
      <w:r w:rsidR="009839EF">
        <w:rPr>
          <w:rFonts w:cs="Arial"/>
          <w:sz w:val="20"/>
          <w:szCs w:val="20"/>
        </w:rPr>
        <w:t xml:space="preserve">The </w:t>
      </w:r>
      <w:r w:rsidR="00635B9F">
        <w:rPr>
          <w:rFonts w:cs="Arial"/>
          <w:sz w:val="20"/>
          <w:szCs w:val="20"/>
        </w:rPr>
        <w:t>HA13</w:t>
      </w:r>
      <w:r w:rsidR="00F5238B">
        <w:rPr>
          <w:rFonts w:cs="Arial"/>
          <w:sz w:val="20"/>
          <w:szCs w:val="20"/>
        </w:rPr>
        <w:t xml:space="preserve"> </w:t>
      </w:r>
      <w:r w:rsidR="00A4391E" w:rsidRPr="00F766DA">
        <w:rPr>
          <w:rFonts w:cs="Arial"/>
          <w:sz w:val="20"/>
          <w:szCs w:val="20"/>
        </w:rPr>
        <w:t xml:space="preserve">“temperature modulation” </w:t>
      </w:r>
      <w:r w:rsidR="009839EF">
        <w:rPr>
          <w:rFonts w:cs="Arial"/>
          <w:sz w:val="20"/>
          <w:szCs w:val="20"/>
        </w:rPr>
        <w:t xml:space="preserve">boiler </w:t>
      </w:r>
      <w:r w:rsidR="009839EF" w:rsidRPr="00F766DA">
        <w:rPr>
          <w:rFonts w:cs="Arial"/>
          <w:sz w:val="20"/>
          <w:szCs w:val="20"/>
        </w:rPr>
        <w:t>controller</w:t>
      </w:r>
      <w:r w:rsidR="009839EF">
        <w:rPr>
          <w:rFonts w:cs="Arial"/>
          <w:sz w:val="20"/>
          <w:szCs w:val="20"/>
        </w:rPr>
        <w:t xml:space="preserve"> measure saves about 1.2 </w:t>
      </w:r>
      <w:proofErr w:type="spellStart"/>
      <w:r w:rsidR="009839EF">
        <w:rPr>
          <w:rFonts w:cs="Arial"/>
          <w:sz w:val="20"/>
          <w:szCs w:val="20"/>
        </w:rPr>
        <w:t>therms</w:t>
      </w:r>
      <w:proofErr w:type="spellEnd"/>
      <w:r w:rsidR="00F50393">
        <w:rPr>
          <w:rFonts w:cs="Arial"/>
          <w:sz w:val="20"/>
          <w:szCs w:val="20"/>
        </w:rPr>
        <w:t xml:space="preserve">/lodging guest room/yr.  </w:t>
      </w:r>
    </w:p>
    <w:p w14:paraId="7DEFCC2F" w14:textId="77777777" w:rsidR="006A1117" w:rsidRPr="00F766DA" w:rsidRDefault="006A1117" w:rsidP="006A1117">
      <w:pPr>
        <w:rPr>
          <w:rFonts w:cs="Arial"/>
          <w:sz w:val="20"/>
          <w:szCs w:val="20"/>
        </w:rPr>
      </w:pPr>
    </w:p>
    <w:p w14:paraId="7DEFCC30" w14:textId="1A86F59D" w:rsidR="00197A23" w:rsidRPr="00F766DA" w:rsidRDefault="00521920" w:rsidP="00872913">
      <w:pPr>
        <w:rPr>
          <w:rFonts w:cs="Arial"/>
          <w:sz w:val="20"/>
          <w:szCs w:val="20"/>
        </w:rPr>
      </w:pPr>
      <w:r w:rsidRPr="00F766DA">
        <w:rPr>
          <w:rFonts w:cs="Arial"/>
          <w:sz w:val="20"/>
          <w:szCs w:val="20"/>
        </w:rPr>
        <w:t>Program Restrictions and Guidelines</w:t>
      </w:r>
      <w:r w:rsidR="00F766DA">
        <w:rPr>
          <w:rFonts w:cs="Arial"/>
          <w:sz w:val="20"/>
          <w:szCs w:val="20"/>
        </w:rPr>
        <w:t>:</w:t>
      </w:r>
      <w:r w:rsidR="00B20F82">
        <w:rPr>
          <w:rFonts w:cs="Arial"/>
          <w:sz w:val="20"/>
          <w:szCs w:val="20"/>
        </w:rPr>
        <w:t xml:space="preserve">  </w:t>
      </w:r>
      <w:r w:rsidR="00F50393" w:rsidRPr="00F766DA">
        <w:rPr>
          <w:rFonts w:cs="Arial"/>
          <w:sz w:val="20"/>
          <w:szCs w:val="20"/>
        </w:rPr>
        <w:t xml:space="preserve">This </w:t>
      </w:r>
      <w:proofErr w:type="spellStart"/>
      <w:r w:rsidR="00F50393" w:rsidRPr="00F766DA">
        <w:rPr>
          <w:rFonts w:cs="Arial"/>
          <w:sz w:val="20"/>
          <w:szCs w:val="20"/>
        </w:rPr>
        <w:t>workpaper</w:t>
      </w:r>
      <w:proofErr w:type="spellEnd"/>
      <w:r w:rsidR="00F50393" w:rsidRPr="00F766DA">
        <w:rPr>
          <w:rFonts w:cs="Arial"/>
          <w:sz w:val="20"/>
          <w:szCs w:val="20"/>
        </w:rPr>
        <w:t xml:space="preserve"> for qualifying multifamily and lodging facilities in the PG&amp;E gas service area covers the retrofit</w:t>
      </w:r>
      <w:r w:rsidR="00F50393">
        <w:rPr>
          <w:rFonts w:cs="Arial"/>
          <w:sz w:val="20"/>
          <w:szCs w:val="20"/>
        </w:rPr>
        <w:t xml:space="preserve"> of a </w:t>
      </w:r>
      <w:r w:rsidR="00F50393" w:rsidRPr="00F766DA">
        <w:rPr>
          <w:rFonts w:cs="Arial"/>
          <w:sz w:val="20"/>
          <w:szCs w:val="20"/>
        </w:rPr>
        <w:t xml:space="preserve">new “temperature modulation” </w:t>
      </w:r>
      <w:r w:rsidR="00F50393">
        <w:rPr>
          <w:rFonts w:cs="Arial"/>
          <w:sz w:val="20"/>
          <w:szCs w:val="20"/>
        </w:rPr>
        <w:t xml:space="preserve">boiler </w:t>
      </w:r>
      <w:r w:rsidR="00F50393" w:rsidRPr="00F766DA">
        <w:rPr>
          <w:rFonts w:cs="Arial"/>
          <w:sz w:val="20"/>
          <w:szCs w:val="20"/>
        </w:rPr>
        <w:t>controller in the central water heating system for minimizing the supply &amp; return water temperatures and piping heat losses.</w:t>
      </w:r>
      <w:r w:rsidR="00F50393">
        <w:rPr>
          <w:rFonts w:cs="Arial"/>
          <w:sz w:val="20"/>
          <w:szCs w:val="20"/>
        </w:rPr>
        <w:t xml:space="preserve">  Some multifamily or lodging facilities may require more than one boiler controller.  The total gas savings and total rebate amount is based on the number of multifamily dwelling units or lodging guest rooms controlled by the new boiler controller or controllers.  </w:t>
      </w:r>
      <w:r w:rsidR="00F50393" w:rsidRPr="00F766DA">
        <w:rPr>
          <w:rFonts w:cs="Arial"/>
          <w:sz w:val="20"/>
          <w:szCs w:val="20"/>
        </w:rPr>
        <w:t xml:space="preserve">The </w:t>
      </w:r>
      <w:r w:rsidR="00F50393">
        <w:rPr>
          <w:rFonts w:cs="Arial"/>
          <w:sz w:val="20"/>
          <w:szCs w:val="20"/>
        </w:rPr>
        <w:t xml:space="preserve">“no control” </w:t>
      </w:r>
      <w:r w:rsidR="00F50393" w:rsidRPr="00F766DA">
        <w:rPr>
          <w:rFonts w:cs="Arial"/>
          <w:sz w:val="20"/>
          <w:szCs w:val="20"/>
        </w:rPr>
        <w:t>base case is the existing</w:t>
      </w:r>
      <w:r w:rsidR="00F50393">
        <w:rPr>
          <w:rFonts w:cs="Arial"/>
          <w:sz w:val="20"/>
          <w:szCs w:val="20"/>
        </w:rPr>
        <w:t xml:space="preserve"> water heating system without </w:t>
      </w:r>
      <w:r w:rsidR="00F50393" w:rsidRPr="00F766DA">
        <w:rPr>
          <w:rFonts w:cs="Arial"/>
          <w:sz w:val="20"/>
          <w:szCs w:val="20"/>
        </w:rPr>
        <w:t xml:space="preserve">“temperature modulation” </w:t>
      </w:r>
      <w:r w:rsidR="00F50393">
        <w:rPr>
          <w:rFonts w:cs="Arial"/>
          <w:sz w:val="20"/>
          <w:szCs w:val="20"/>
        </w:rPr>
        <w:t>boiler control.</w:t>
      </w:r>
    </w:p>
    <w:p w14:paraId="7DEFCC31" w14:textId="77777777" w:rsidR="00521920" w:rsidRPr="00806070" w:rsidRDefault="00806070" w:rsidP="0059536C">
      <w:pPr>
        <w:pStyle w:val="Heading2"/>
      </w:pPr>
      <w:bookmarkStart w:id="33" w:name="_Toc481419684"/>
      <w:r>
        <w:t xml:space="preserve">1.2 Product </w:t>
      </w:r>
      <w:r w:rsidR="00521920" w:rsidRPr="00806070">
        <w:t>Technical Description</w:t>
      </w:r>
      <w:bookmarkEnd w:id="33"/>
    </w:p>
    <w:p w14:paraId="7DEFCC32" w14:textId="2193634E" w:rsidR="00872913" w:rsidRPr="00CC3E10" w:rsidRDefault="00C65104" w:rsidP="00872913">
      <w:pPr>
        <w:rPr>
          <w:rFonts w:cs="Arial"/>
          <w:sz w:val="20"/>
          <w:szCs w:val="20"/>
        </w:rPr>
      </w:pPr>
      <w:r w:rsidRPr="00F766DA">
        <w:rPr>
          <w:rFonts w:cs="Arial"/>
          <w:sz w:val="20"/>
          <w:szCs w:val="20"/>
        </w:rPr>
        <w:t xml:space="preserve">This </w:t>
      </w:r>
      <w:proofErr w:type="spellStart"/>
      <w:r w:rsidRPr="00F766DA">
        <w:rPr>
          <w:rFonts w:cs="Arial"/>
          <w:sz w:val="20"/>
          <w:szCs w:val="20"/>
        </w:rPr>
        <w:t>workpaper</w:t>
      </w:r>
      <w:proofErr w:type="spellEnd"/>
      <w:r w:rsidRPr="00F766DA">
        <w:rPr>
          <w:rFonts w:cs="Arial"/>
          <w:sz w:val="20"/>
          <w:szCs w:val="20"/>
        </w:rPr>
        <w:t xml:space="preserve"> for qualifying multifamily and lodging facilities in the PG&amp;E gas service area covers the retrofit</w:t>
      </w:r>
      <w:r>
        <w:rPr>
          <w:rFonts w:cs="Arial"/>
          <w:sz w:val="20"/>
          <w:szCs w:val="20"/>
        </w:rPr>
        <w:t xml:space="preserve"> of a </w:t>
      </w:r>
      <w:r w:rsidRPr="00F766DA">
        <w:rPr>
          <w:rFonts w:cs="Arial"/>
          <w:sz w:val="20"/>
          <w:szCs w:val="20"/>
        </w:rPr>
        <w:t xml:space="preserve">new “temperature modulation” </w:t>
      </w:r>
      <w:r>
        <w:rPr>
          <w:rFonts w:cs="Arial"/>
          <w:sz w:val="20"/>
          <w:szCs w:val="20"/>
        </w:rPr>
        <w:t xml:space="preserve">boiler </w:t>
      </w:r>
      <w:r w:rsidRPr="00F766DA">
        <w:rPr>
          <w:rFonts w:cs="Arial"/>
          <w:sz w:val="20"/>
          <w:szCs w:val="20"/>
        </w:rPr>
        <w:t>controller in the central water heating system for minimizing the supply &amp; return water temperatures and piping heat losses.</w:t>
      </w:r>
      <w:r>
        <w:rPr>
          <w:rFonts w:cs="Arial"/>
          <w:sz w:val="20"/>
          <w:szCs w:val="20"/>
        </w:rPr>
        <w:t xml:space="preserve">  Some multifamily or lodging facilities may require more than one boiler controller.  </w:t>
      </w:r>
      <w:r w:rsidR="0059536C" w:rsidRPr="00CC3E10">
        <w:rPr>
          <w:rFonts w:cs="Arial"/>
          <w:sz w:val="20"/>
          <w:szCs w:val="20"/>
        </w:rPr>
        <w:t xml:space="preserve">The </w:t>
      </w:r>
      <w:r w:rsidR="00CC7D51" w:rsidRPr="00CC3E10">
        <w:rPr>
          <w:rFonts w:cs="Arial"/>
          <w:sz w:val="20"/>
          <w:szCs w:val="20"/>
        </w:rPr>
        <w:t>“</w:t>
      </w:r>
      <w:r w:rsidR="0059536C" w:rsidRPr="00CC3E10">
        <w:rPr>
          <w:rFonts w:cs="Arial"/>
          <w:sz w:val="20"/>
          <w:szCs w:val="20"/>
        </w:rPr>
        <w:t>Pro</w:t>
      </w:r>
      <w:r w:rsidR="00CC7D51" w:rsidRPr="00CC3E10">
        <w:rPr>
          <w:rFonts w:cs="Arial"/>
          <w:sz w:val="20"/>
          <w:szCs w:val="20"/>
        </w:rPr>
        <w:t>-Temp Con</w:t>
      </w:r>
      <w:r w:rsidR="00F766DA">
        <w:rPr>
          <w:rFonts w:cs="Arial"/>
          <w:sz w:val="20"/>
          <w:szCs w:val="20"/>
        </w:rPr>
        <w:t xml:space="preserve">troller” </w:t>
      </w:r>
      <w:r w:rsidR="00CC7D51" w:rsidRPr="00CC3E10">
        <w:rPr>
          <w:rFonts w:cs="Arial"/>
          <w:sz w:val="20"/>
          <w:szCs w:val="20"/>
        </w:rPr>
        <w:t>from PTControls.com is an example of a “tempe</w:t>
      </w:r>
      <w:r w:rsidR="00F766DA">
        <w:rPr>
          <w:rFonts w:cs="Arial"/>
          <w:sz w:val="20"/>
          <w:szCs w:val="20"/>
        </w:rPr>
        <w:t xml:space="preserve">rature modulation” </w:t>
      </w:r>
      <w:r w:rsidR="00B20F82">
        <w:rPr>
          <w:rFonts w:cs="Arial"/>
          <w:sz w:val="20"/>
          <w:szCs w:val="20"/>
        </w:rPr>
        <w:t xml:space="preserve">boiler </w:t>
      </w:r>
      <w:r w:rsidR="00F766DA">
        <w:rPr>
          <w:rFonts w:cs="Arial"/>
          <w:sz w:val="20"/>
          <w:szCs w:val="20"/>
        </w:rPr>
        <w:t xml:space="preserve">controller. </w:t>
      </w:r>
    </w:p>
    <w:p w14:paraId="7DEFCC33" w14:textId="77777777" w:rsidR="009C5CA7" w:rsidRDefault="009C5CA7" w:rsidP="009C5CA7">
      <w:pPr>
        <w:pStyle w:val="Heading2"/>
        <w:keepNext w:val="0"/>
      </w:pPr>
      <w:bookmarkStart w:id="34" w:name="_Toc304800203"/>
      <w:bookmarkStart w:id="35" w:name="_Toc324318339"/>
      <w:bookmarkStart w:id="36" w:name="_Toc324340483"/>
      <w:bookmarkStart w:id="37" w:name="_Toc481419685"/>
      <w:r>
        <w:t>1.</w:t>
      </w:r>
      <w:r w:rsidR="00806070">
        <w:t>3</w:t>
      </w:r>
      <w:r>
        <w:t xml:space="preserve"> </w:t>
      </w:r>
      <w:r w:rsidR="002E6162">
        <w:t xml:space="preserve">Measure Application </w:t>
      </w:r>
      <w:bookmarkEnd w:id="34"/>
      <w:r w:rsidR="002E6162">
        <w:t>Type</w:t>
      </w:r>
      <w:bookmarkEnd w:id="35"/>
      <w:bookmarkEnd w:id="36"/>
      <w:bookmarkEnd w:id="37"/>
      <w:r w:rsidR="00FA595F">
        <w:t xml:space="preserve"> </w:t>
      </w:r>
    </w:p>
    <w:p w14:paraId="7DEFCC34" w14:textId="6E5999D6" w:rsidR="00245EB5" w:rsidRDefault="002C341E" w:rsidP="009C5CA7">
      <w:pPr>
        <w:rPr>
          <w:rFonts w:cs="Arial"/>
          <w:sz w:val="20"/>
          <w:szCs w:val="20"/>
        </w:rPr>
      </w:pPr>
      <w:r>
        <w:rPr>
          <w:rFonts w:cs="Arial"/>
          <w:sz w:val="20"/>
          <w:szCs w:val="20"/>
        </w:rPr>
        <w:t xml:space="preserve">The </w:t>
      </w:r>
      <w:proofErr w:type="spellStart"/>
      <w:r>
        <w:rPr>
          <w:rFonts w:cs="Arial"/>
          <w:sz w:val="20"/>
          <w:szCs w:val="20"/>
        </w:rPr>
        <w:t>workpaper</w:t>
      </w:r>
      <w:proofErr w:type="spellEnd"/>
      <w:r>
        <w:rPr>
          <w:rFonts w:cs="Arial"/>
          <w:sz w:val="20"/>
          <w:szCs w:val="20"/>
        </w:rPr>
        <w:t xml:space="preserve"> measures</w:t>
      </w:r>
      <w:r w:rsidR="00B20F82">
        <w:rPr>
          <w:rFonts w:cs="Arial"/>
          <w:sz w:val="20"/>
          <w:szCs w:val="20"/>
        </w:rPr>
        <w:t xml:space="preserve"> are</w:t>
      </w:r>
      <w:r w:rsidR="00EF35F3">
        <w:rPr>
          <w:rFonts w:cs="Arial"/>
          <w:sz w:val="20"/>
          <w:szCs w:val="20"/>
        </w:rPr>
        <w:t xml:space="preserve"> </w:t>
      </w:r>
      <w:r w:rsidR="00EF35F3" w:rsidRPr="00EF35F3">
        <w:rPr>
          <w:rFonts w:cs="Arial"/>
          <w:sz w:val="20"/>
          <w:szCs w:val="20"/>
        </w:rPr>
        <w:t>Retrofit Add-On</w:t>
      </w:r>
      <w:r>
        <w:rPr>
          <w:rFonts w:cs="Arial"/>
          <w:sz w:val="20"/>
          <w:szCs w:val="20"/>
        </w:rPr>
        <w:t xml:space="preserve"> (R</w:t>
      </w:r>
      <w:r w:rsidR="00EF35F3">
        <w:rPr>
          <w:rFonts w:cs="Arial"/>
          <w:sz w:val="20"/>
          <w:szCs w:val="20"/>
        </w:rPr>
        <w:t>EA</w:t>
      </w:r>
      <w:r>
        <w:rPr>
          <w:rFonts w:cs="Arial"/>
          <w:sz w:val="20"/>
          <w:szCs w:val="20"/>
        </w:rPr>
        <w:t xml:space="preserve">) </w:t>
      </w:r>
      <w:r w:rsidR="00245EB5">
        <w:rPr>
          <w:rFonts w:cs="Arial"/>
          <w:sz w:val="20"/>
          <w:szCs w:val="20"/>
        </w:rPr>
        <w:t xml:space="preserve">because of the retrofit of one </w:t>
      </w:r>
      <w:r w:rsidR="00236FF5">
        <w:rPr>
          <w:rFonts w:cs="Arial"/>
          <w:sz w:val="20"/>
          <w:szCs w:val="20"/>
        </w:rPr>
        <w:t>or more new boiler i</w:t>
      </w:r>
      <w:r w:rsidR="00245EB5">
        <w:rPr>
          <w:rFonts w:cs="Arial"/>
          <w:sz w:val="20"/>
          <w:szCs w:val="20"/>
        </w:rPr>
        <w:t>n the existing water heating system.</w:t>
      </w:r>
    </w:p>
    <w:p w14:paraId="7DEFCC35" w14:textId="66EAF07F" w:rsidR="00CC64B9" w:rsidRDefault="00CC64B9">
      <w:pPr>
        <w:rPr>
          <w:rFonts w:cs="Arial"/>
          <w:b/>
          <w:bCs/>
          <w:i/>
          <w:iCs/>
          <w:sz w:val="28"/>
          <w:szCs w:val="28"/>
        </w:rPr>
      </w:pPr>
      <w:bookmarkStart w:id="38" w:name="_Toc304800204"/>
      <w:bookmarkStart w:id="39" w:name="_Toc324318340"/>
      <w:bookmarkStart w:id="40" w:name="_Toc324340484"/>
    </w:p>
    <w:p w14:paraId="7DEFCC36" w14:textId="77777777" w:rsidR="00806070" w:rsidRDefault="00806070" w:rsidP="00245EB5">
      <w:pPr>
        <w:pStyle w:val="Heading2"/>
      </w:pPr>
      <w:bookmarkStart w:id="41" w:name="_Toc481419686"/>
      <w:r>
        <w:t>1.4 Product Base Case and Measure Case Data</w:t>
      </w:r>
      <w:bookmarkEnd w:id="38"/>
      <w:bookmarkEnd w:id="39"/>
      <w:bookmarkEnd w:id="40"/>
      <w:bookmarkEnd w:id="41"/>
    </w:p>
    <w:p w14:paraId="7DEFCC37" w14:textId="77777777" w:rsidR="001F7C55" w:rsidRDefault="001248A3" w:rsidP="0097121B">
      <w:pPr>
        <w:pStyle w:val="Heading2"/>
      </w:pPr>
      <w:bookmarkStart w:id="42" w:name="_Toc304800205"/>
      <w:bookmarkStart w:id="43" w:name="_Toc324318341"/>
      <w:bookmarkStart w:id="44" w:name="_Toc324340485"/>
      <w:bookmarkStart w:id="45" w:name="_Toc481419687"/>
      <w:r>
        <w:t>1.</w:t>
      </w:r>
      <w:r w:rsidR="00806070">
        <w:t>4.1</w:t>
      </w:r>
      <w:r w:rsidR="00245EB5">
        <w:t xml:space="preserve"> DEER Base </w:t>
      </w:r>
      <w:r w:rsidR="008C6AD1">
        <w:t>Case and Measure Case Information</w:t>
      </w:r>
      <w:bookmarkEnd w:id="42"/>
      <w:bookmarkEnd w:id="43"/>
      <w:bookmarkEnd w:id="44"/>
      <w:bookmarkEnd w:id="45"/>
      <w:r w:rsidR="008C6AD1">
        <w:t xml:space="preserve"> </w:t>
      </w:r>
    </w:p>
    <w:p w14:paraId="7DEFCC38" w14:textId="77777777" w:rsidR="00706029" w:rsidRPr="00706029" w:rsidRDefault="00706029" w:rsidP="00581433">
      <w:pPr>
        <w:pStyle w:val="Caption"/>
        <w:keepNext/>
        <w:spacing w:before="120" w:after="120"/>
        <w:rPr>
          <w:sz w:val="24"/>
          <w:szCs w:val="24"/>
        </w:rPr>
      </w:pPr>
      <w:bookmarkStart w:id="46" w:name="_Toc328412072"/>
      <w:bookmarkStart w:id="47" w:name="_Toc481419707"/>
      <w:proofErr w:type="gramStart"/>
      <w:r w:rsidRPr="00706029">
        <w:rPr>
          <w:sz w:val="24"/>
          <w:szCs w:val="24"/>
        </w:rPr>
        <w:t xml:space="preserve">Table </w:t>
      </w:r>
      <w:r w:rsidRPr="00706029">
        <w:rPr>
          <w:sz w:val="24"/>
          <w:szCs w:val="24"/>
        </w:rPr>
        <w:fldChar w:fldCharType="begin"/>
      </w:r>
      <w:r w:rsidRPr="00706029">
        <w:rPr>
          <w:sz w:val="24"/>
          <w:szCs w:val="24"/>
        </w:rPr>
        <w:instrText xml:space="preserve"> SEQ Table \* ARABIC </w:instrText>
      </w:r>
      <w:r w:rsidRPr="00706029">
        <w:rPr>
          <w:sz w:val="24"/>
          <w:szCs w:val="24"/>
        </w:rPr>
        <w:fldChar w:fldCharType="separate"/>
      </w:r>
      <w:r w:rsidR="00644DB4">
        <w:rPr>
          <w:noProof/>
          <w:sz w:val="24"/>
          <w:szCs w:val="24"/>
        </w:rPr>
        <w:t>1</w:t>
      </w:r>
      <w:r w:rsidRPr="00706029">
        <w:rPr>
          <w:sz w:val="24"/>
          <w:szCs w:val="24"/>
        </w:rPr>
        <w:fldChar w:fldCharType="end"/>
      </w:r>
      <w:r w:rsidRPr="00706029">
        <w:rPr>
          <w:sz w:val="24"/>
          <w:szCs w:val="24"/>
        </w:rPr>
        <w:t>.</w:t>
      </w:r>
      <w:proofErr w:type="gramEnd"/>
      <w:r w:rsidRPr="00706029">
        <w:rPr>
          <w:sz w:val="24"/>
          <w:szCs w:val="24"/>
        </w:rPr>
        <w:t xml:space="preserve"> </w:t>
      </w:r>
      <w:r w:rsidRPr="00706029">
        <w:rPr>
          <w:sz w:val="24"/>
        </w:rPr>
        <w:t xml:space="preserve">DEER </w:t>
      </w:r>
      <w:bookmarkEnd w:id="46"/>
      <w:r w:rsidR="000E0B1C">
        <w:rPr>
          <w:sz w:val="24"/>
        </w:rPr>
        <w:t>Use and Technology Table</w:t>
      </w:r>
      <w:bookmarkEnd w:id="47"/>
    </w:p>
    <w:tbl>
      <w:tblPr>
        <w:tblStyle w:val="PGEWorkPaper"/>
        <w:tblW w:w="5000" w:type="pct"/>
        <w:tblLook w:val="04A0" w:firstRow="1" w:lastRow="0" w:firstColumn="1" w:lastColumn="0" w:noHBand="0" w:noVBand="1"/>
      </w:tblPr>
      <w:tblGrid>
        <w:gridCol w:w="2948"/>
        <w:gridCol w:w="1910"/>
        <w:gridCol w:w="2927"/>
        <w:gridCol w:w="1791"/>
      </w:tblGrid>
      <w:tr w:rsidR="000E0B1C" w:rsidRPr="000E0B1C" w14:paraId="7DEFCC3C" w14:textId="77777777" w:rsidTr="001E025A">
        <w:trPr>
          <w:cnfStyle w:val="100000000000" w:firstRow="1" w:lastRow="0" w:firstColumn="0" w:lastColumn="0" w:oddVBand="0" w:evenVBand="0" w:oddHBand="0" w:evenHBand="0" w:firstRowFirstColumn="0" w:firstRowLastColumn="0" w:lastRowFirstColumn="0" w:lastRowLastColumn="0"/>
          <w:trHeight w:val="300"/>
        </w:trPr>
        <w:tc>
          <w:tcPr>
            <w:tcW w:w="1539" w:type="pct"/>
            <w:noWrap/>
            <w:hideMark/>
          </w:tcPr>
          <w:p w14:paraId="7DEFCC39" w14:textId="77777777" w:rsidR="000E0B1C" w:rsidRPr="000E0B1C" w:rsidRDefault="000E0B1C">
            <w:pPr>
              <w:rPr>
                <w:rFonts w:cs="Arial"/>
                <w:i/>
                <w:color w:val="FFFFFF" w:themeColor="background1"/>
                <w:sz w:val="20"/>
                <w:szCs w:val="20"/>
              </w:rPr>
            </w:pPr>
            <w:r w:rsidRPr="000E0B1C">
              <w:rPr>
                <w:rFonts w:cs="Arial"/>
                <w:i/>
                <w:color w:val="FFFFFF" w:themeColor="background1"/>
                <w:sz w:val="20"/>
                <w:szCs w:val="20"/>
              </w:rPr>
              <w:t> </w:t>
            </w:r>
          </w:p>
        </w:tc>
        <w:tc>
          <w:tcPr>
            <w:tcW w:w="2526" w:type="pct"/>
            <w:gridSpan w:val="2"/>
            <w:noWrap/>
            <w:hideMark/>
          </w:tcPr>
          <w:p w14:paraId="7DEFCC3A" w14:textId="77777777" w:rsidR="000E0B1C" w:rsidRPr="000E0B1C" w:rsidRDefault="000E0B1C" w:rsidP="000E0B1C">
            <w:pPr>
              <w:rPr>
                <w:rFonts w:cs="Arial"/>
                <w:i/>
                <w:iCs/>
                <w:color w:val="FFFFFF" w:themeColor="background1"/>
                <w:sz w:val="20"/>
                <w:szCs w:val="20"/>
              </w:rPr>
            </w:pPr>
            <w:r>
              <w:rPr>
                <w:rFonts w:cs="Arial"/>
                <w:bCs w:val="0"/>
                <w:i/>
                <w:iCs/>
                <w:color w:val="FFFFFF" w:themeColor="background1"/>
                <w:sz w:val="20"/>
                <w:szCs w:val="20"/>
              </w:rPr>
              <w:t>DEER Use</w:t>
            </w:r>
            <w:r w:rsidRPr="000E0B1C">
              <w:rPr>
                <w:rFonts w:cs="Arial"/>
                <w:bCs w:val="0"/>
                <w:i/>
                <w:iCs/>
                <w:color w:val="FFFFFF" w:themeColor="background1"/>
                <w:sz w:val="20"/>
                <w:szCs w:val="20"/>
              </w:rPr>
              <w:t xml:space="preserve"> and T</w:t>
            </w:r>
            <w:r>
              <w:rPr>
                <w:rFonts w:cs="Arial"/>
                <w:bCs w:val="0"/>
                <w:i/>
                <w:iCs/>
                <w:color w:val="FFFFFF" w:themeColor="background1"/>
                <w:sz w:val="20"/>
                <w:szCs w:val="20"/>
              </w:rPr>
              <w:t>echnology Table</w:t>
            </w:r>
          </w:p>
        </w:tc>
        <w:tc>
          <w:tcPr>
            <w:tcW w:w="935" w:type="pct"/>
            <w:noWrap/>
            <w:hideMark/>
          </w:tcPr>
          <w:p w14:paraId="7DEFCC3B" w14:textId="77777777" w:rsidR="000E0B1C" w:rsidRPr="000E0B1C" w:rsidRDefault="000E0B1C">
            <w:pPr>
              <w:rPr>
                <w:rFonts w:cs="Arial"/>
                <w:i/>
                <w:color w:val="FFFFFF" w:themeColor="background1"/>
                <w:sz w:val="20"/>
                <w:szCs w:val="20"/>
              </w:rPr>
            </w:pPr>
            <w:r w:rsidRPr="000E0B1C">
              <w:rPr>
                <w:rFonts w:cs="Arial"/>
                <w:i/>
                <w:color w:val="FFFFFF" w:themeColor="background1"/>
                <w:sz w:val="20"/>
                <w:szCs w:val="20"/>
              </w:rPr>
              <w:t> </w:t>
            </w:r>
          </w:p>
        </w:tc>
      </w:tr>
      <w:tr w:rsidR="000E0B1C" w:rsidRPr="000E0B1C" w14:paraId="7DEFCC41" w14:textId="77777777" w:rsidTr="001E025A">
        <w:trPr>
          <w:cnfStyle w:val="000000100000" w:firstRow="0" w:lastRow="0" w:firstColumn="0" w:lastColumn="0" w:oddVBand="0" w:evenVBand="0" w:oddHBand="1" w:evenHBand="0" w:firstRowFirstColumn="0" w:firstRowLastColumn="0" w:lastRowFirstColumn="0" w:lastRowLastColumn="0"/>
          <w:trHeight w:val="255"/>
        </w:trPr>
        <w:tc>
          <w:tcPr>
            <w:tcW w:w="1539" w:type="pct"/>
            <w:noWrap/>
            <w:hideMark/>
          </w:tcPr>
          <w:p w14:paraId="7DEFCC3D" w14:textId="77777777" w:rsidR="000E0B1C" w:rsidRPr="000E0B1C" w:rsidRDefault="000E0B1C">
            <w:pPr>
              <w:rPr>
                <w:rFonts w:cs="Arial"/>
                <w:b/>
                <w:bCs/>
                <w:color w:val="000000"/>
                <w:sz w:val="20"/>
                <w:szCs w:val="20"/>
              </w:rPr>
            </w:pPr>
            <w:r w:rsidRPr="000E0B1C">
              <w:rPr>
                <w:rFonts w:cs="Arial"/>
                <w:b/>
                <w:bCs/>
                <w:color w:val="000000"/>
                <w:sz w:val="20"/>
                <w:szCs w:val="20"/>
              </w:rPr>
              <w:t>Use Category Description</w:t>
            </w:r>
          </w:p>
        </w:tc>
        <w:tc>
          <w:tcPr>
            <w:tcW w:w="997" w:type="pct"/>
            <w:noWrap/>
            <w:hideMark/>
          </w:tcPr>
          <w:p w14:paraId="7DEFCC3E" w14:textId="77777777" w:rsidR="000E0B1C" w:rsidRPr="000E0B1C" w:rsidRDefault="000E0B1C">
            <w:pPr>
              <w:rPr>
                <w:rFonts w:cs="Arial"/>
                <w:b/>
                <w:bCs/>
                <w:color w:val="000000"/>
                <w:sz w:val="20"/>
                <w:szCs w:val="20"/>
              </w:rPr>
            </w:pPr>
            <w:r w:rsidRPr="000E0B1C">
              <w:rPr>
                <w:rFonts w:cs="Arial"/>
                <w:b/>
                <w:bCs/>
                <w:color w:val="000000"/>
                <w:sz w:val="20"/>
                <w:szCs w:val="20"/>
              </w:rPr>
              <w:t>Use Category</w:t>
            </w:r>
          </w:p>
        </w:tc>
        <w:tc>
          <w:tcPr>
            <w:tcW w:w="1528" w:type="pct"/>
            <w:noWrap/>
            <w:hideMark/>
          </w:tcPr>
          <w:p w14:paraId="7DEFCC3F" w14:textId="77777777" w:rsidR="000E0B1C" w:rsidRPr="000E0B1C" w:rsidRDefault="000E0B1C">
            <w:pPr>
              <w:rPr>
                <w:rFonts w:cs="Arial"/>
                <w:b/>
                <w:bCs/>
                <w:color w:val="000000"/>
                <w:sz w:val="20"/>
                <w:szCs w:val="20"/>
              </w:rPr>
            </w:pPr>
            <w:r w:rsidRPr="000E0B1C">
              <w:rPr>
                <w:rFonts w:cs="Arial"/>
                <w:b/>
                <w:bCs/>
                <w:color w:val="000000"/>
                <w:sz w:val="20"/>
                <w:szCs w:val="20"/>
              </w:rPr>
              <w:t>Use Sub Category Description</w:t>
            </w:r>
          </w:p>
        </w:tc>
        <w:tc>
          <w:tcPr>
            <w:tcW w:w="935" w:type="pct"/>
            <w:noWrap/>
            <w:hideMark/>
          </w:tcPr>
          <w:p w14:paraId="7DEFCC40" w14:textId="77777777" w:rsidR="000E0B1C" w:rsidRPr="000E0B1C" w:rsidRDefault="000E0B1C">
            <w:pPr>
              <w:rPr>
                <w:rFonts w:cs="Arial"/>
                <w:b/>
                <w:bCs/>
                <w:color w:val="000000"/>
                <w:sz w:val="20"/>
                <w:szCs w:val="20"/>
              </w:rPr>
            </w:pPr>
            <w:r w:rsidRPr="000E0B1C">
              <w:rPr>
                <w:rFonts w:cs="Arial"/>
                <w:b/>
                <w:bCs/>
                <w:color w:val="000000"/>
                <w:sz w:val="20"/>
                <w:szCs w:val="20"/>
              </w:rPr>
              <w:t>Use Sub Category</w:t>
            </w:r>
          </w:p>
        </w:tc>
      </w:tr>
      <w:tr w:rsidR="000E0B1C" w:rsidRPr="000E0B1C" w14:paraId="7DEFCC46" w14:textId="77777777" w:rsidTr="001E025A">
        <w:trPr>
          <w:cnfStyle w:val="000000010000" w:firstRow="0" w:lastRow="0" w:firstColumn="0" w:lastColumn="0" w:oddVBand="0" w:evenVBand="0" w:oddHBand="0" w:evenHBand="1" w:firstRowFirstColumn="0" w:firstRowLastColumn="0" w:lastRowFirstColumn="0" w:lastRowLastColumn="0"/>
          <w:trHeight w:val="255"/>
        </w:trPr>
        <w:tc>
          <w:tcPr>
            <w:tcW w:w="1539" w:type="pct"/>
            <w:noWrap/>
            <w:hideMark/>
          </w:tcPr>
          <w:p w14:paraId="7DEFCC42" w14:textId="77777777" w:rsidR="000E0B1C" w:rsidRPr="000E0B1C" w:rsidRDefault="000E0B1C">
            <w:pPr>
              <w:rPr>
                <w:rFonts w:cs="Arial"/>
                <w:color w:val="000000"/>
                <w:sz w:val="20"/>
                <w:szCs w:val="20"/>
              </w:rPr>
            </w:pPr>
            <w:r w:rsidRPr="000E0B1C">
              <w:rPr>
                <w:rFonts w:cs="Arial"/>
                <w:color w:val="000000"/>
                <w:sz w:val="20"/>
                <w:szCs w:val="20"/>
              </w:rPr>
              <w:t>Service and Domestic Hot Water</w:t>
            </w:r>
          </w:p>
        </w:tc>
        <w:tc>
          <w:tcPr>
            <w:tcW w:w="997" w:type="pct"/>
            <w:noWrap/>
            <w:hideMark/>
          </w:tcPr>
          <w:p w14:paraId="7DEFCC43" w14:textId="77777777" w:rsidR="000E0B1C" w:rsidRPr="000E0B1C" w:rsidRDefault="000E0B1C">
            <w:pPr>
              <w:rPr>
                <w:rFonts w:cs="Arial"/>
                <w:color w:val="000000"/>
                <w:sz w:val="20"/>
                <w:szCs w:val="20"/>
              </w:rPr>
            </w:pPr>
            <w:r w:rsidRPr="000E0B1C">
              <w:rPr>
                <w:rFonts w:cs="Arial"/>
                <w:color w:val="000000"/>
                <w:sz w:val="20"/>
                <w:szCs w:val="20"/>
              </w:rPr>
              <w:t>SHW</w:t>
            </w:r>
          </w:p>
        </w:tc>
        <w:tc>
          <w:tcPr>
            <w:tcW w:w="1528" w:type="pct"/>
            <w:noWrap/>
            <w:hideMark/>
          </w:tcPr>
          <w:p w14:paraId="7DEFCC44" w14:textId="6DDC9940" w:rsidR="000E0B1C" w:rsidRPr="000E0B1C" w:rsidRDefault="00ED3005" w:rsidP="00ED3005">
            <w:pPr>
              <w:rPr>
                <w:rFonts w:cs="Arial"/>
                <w:color w:val="000000"/>
                <w:sz w:val="20"/>
                <w:szCs w:val="20"/>
              </w:rPr>
            </w:pPr>
            <w:r>
              <w:rPr>
                <w:rFonts w:cs="Arial"/>
                <w:color w:val="000000"/>
                <w:sz w:val="20"/>
                <w:szCs w:val="20"/>
              </w:rPr>
              <w:t>Water Heating</w:t>
            </w:r>
          </w:p>
        </w:tc>
        <w:tc>
          <w:tcPr>
            <w:tcW w:w="935" w:type="pct"/>
            <w:noWrap/>
            <w:hideMark/>
          </w:tcPr>
          <w:p w14:paraId="7DEFCC45" w14:textId="33456876" w:rsidR="000E0B1C" w:rsidRPr="000E0B1C" w:rsidRDefault="00ED3005">
            <w:pPr>
              <w:rPr>
                <w:rFonts w:cs="Arial"/>
                <w:color w:val="000000"/>
                <w:sz w:val="20"/>
                <w:szCs w:val="20"/>
              </w:rPr>
            </w:pPr>
            <w:r>
              <w:rPr>
                <w:rFonts w:cs="Arial"/>
                <w:color w:val="000000"/>
                <w:sz w:val="20"/>
                <w:szCs w:val="20"/>
              </w:rPr>
              <w:t>Heating</w:t>
            </w:r>
          </w:p>
        </w:tc>
      </w:tr>
      <w:tr w:rsidR="000E0B1C" w:rsidRPr="000E0B1C" w14:paraId="7DEFCC4B" w14:textId="77777777" w:rsidTr="001E025A">
        <w:trPr>
          <w:cnfStyle w:val="000000100000" w:firstRow="0" w:lastRow="0" w:firstColumn="0" w:lastColumn="0" w:oddVBand="0" w:evenVBand="0" w:oddHBand="1" w:evenHBand="0" w:firstRowFirstColumn="0" w:firstRowLastColumn="0" w:lastRowFirstColumn="0" w:lastRowLastColumn="0"/>
          <w:trHeight w:val="255"/>
        </w:trPr>
        <w:tc>
          <w:tcPr>
            <w:tcW w:w="1539" w:type="pct"/>
            <w:noWrap/>
            <w:hideMark/>
          </w:tcPr>
          <w:p w14:paraId="7DEFCC47" w14:textId="77777777" w:rsidR="000E0B1C" w:rsidRPr="000E0B1C" w:rsidRDefault="000E0B1C">
            <w:pPr>
              <w:rPr>
                <w:rFonts w:cs="Arial"/>
                <w:b/>
                <w:bCs/>
                <w:color w:val="000000"/>
                <w:sz w:val="20"/>
                <w:szCs w:val="20"/>
              </w:rPr>
            </w:pPr>
            <w:r w:rsidRPr="000E0B1C">
              <w:rPr>
                <w:rFonts w:cs="Arial"/>
                <w:b/>
                <w:bCs/>
                <w:color w:val="000000"/>
                <w:sz w:val="20"/>
                <w:szCs w:val="20"/>
              </w:rPr>
              <w:t>Technology Groups Description</w:t>
            </w:r>
          </w:p>
        </w:tc>
        <w:tc>
          <w:tcPr>
            <w:tcW w:w="997" w:type="pct"/>
            <w:noWrap/>
            <w:hideMark/>
          </w:tcPr>
          <w:p w14:paraId="7DEFCC48" w14:textId="77777777" w:rsidR="000E0B1C" w:rsidRPr="000E0B1C" w:rsidRDefault="000E0B1C">
            <w:pPr>
              <w:rPr>
                <w:rFonts w:cs="Arial"/>
                <w:b/>
                <w:bCs/>
                <w:color w:val="000000"/>
                <w:sz w:val="20"/>
                <w:szCs w:val="20"/>
              </w:rPr>
            </w:pPr>
            <w:r w:rsidRPr="000E0B1C">
              <w:rPr>
                <w:rFonts w:cs="Arial"/>
                <w:b/>
                <w:bCs/>
                <w:color w:val="000000"/>
                <w:sz w:val="20"/>
                <w:szCs w:val="20"/>
              </w:rPr>
              <w:t>Technology Groups</w:t>
            </w:r>
          </w:p>
        </w:tc>
        <w:tc>
          <w:tcPr>
            <w:tcW w:w="1528" w:type="pct"/>
            <w:noWrap/>
            <w:hideMark/>
          </w:tcPr>
          <w:p w14:paraId="7DEFCC49" w14:textId="77777777" w:rsidR="000E0B1C" w:rsidRPr="000E0B1C" w:rsidRDefault="000E0B1C">
            <w:pPr>
              <w:rPr>
                <w:rFonts w:cs="Arial"/>
                <w:b/>
                <w:bCs/>
                <w:color w:val="000000"/>
                <w:sz w:val="20"/>
                <w:szCs w:val="20"/>
              </w:rPr>
            </w:pPr>
            <w:r w:rsidRPr="000E0B1C">
              <w:rPr>
                <w:rFonts w:cs="Arial"/>
                <w:b/>
                <w:bCs/>
                <w:color w:val="000000"/>
                <w:sz w:val="20"/>
                <w:szCs w:val="20"/>
              </w:rPr>
              <w:t>Technology Types Descriptions</w:t>
            </w:r>
          </w:p>
        </w:tc>
        <w:tc>
          <w:tcPr>
            <w:tcW w:w="935" w:type="pct"/>
            <w:noWrap/>
            <w:hideMark/>
          </w:tcPr>
          <w:p w14:paraId="7DEFCC4A" w14:textId="77777777" w:rsidR="000E0B1C" w:rsidRPr="000E0B1C" w:rsidRDefault="000E0B1C">
            <w:pPr>
              <w:rPr>
                <w:rFonts w:cs="Arial"/>
                <w:b/>
                <w:bCs/>
                <w:color w:val="000000"/>
                <w:sz w:val="20"/>
                <w:szCs w:val="20"/>
              </w:rPr>
            </w:pPr>
            <w:r w:rsidRPr="000E0B1C">
              <w:rPr>
                <w:rFonts w:cs="Arial"/>
                <w:b/>
                <w:bCs/>
                <w:color w:val="000000"/>
                <w:sz w:val="20"/>
                <w:szCs w:val="20"/>
              </w:rPr>
              <w:t>Technology Types</w:t>
            </w:r>
          </w:p>
        </w:tc>
      </w:tr>
      <w:tr w:rsidR="000E0B1C" w:rsidRPr="000E0B1C" w14:paraId="7DEFCC50" w14:textId="77777777" w:rsidTr="001E025A">
        <w:trPr>
          <w:cnfStyle w:val="000000010000" w:firstRow="0" w:lastRow="0" w:firstColumn="0" w:lastColumn="0" w:oddVBand="0" w:evenVBand="0" w:oddHBand="0" w:evenHBand="1" w:firstRowFirstColumn="0" w:firstRowLastColumn="0" w:lastRowFirstColumn="0" w:lastRowLastColumn="0"/>
          <w:trHeight w:val="255"/>
        </w:trPr>
        <w:tc>
          <w:tcPr>
            <w:tcW w:w="1539" w:type="pct"/>
            <w:noWrap/>
            <w:hideMark/>
          </w:tcPr>
          <w:p w14:paraId="7DEFCC4C" w14:textId="77777777" w:rsidR="000E0B1C" w:rsidRPr="000E0B1C" w:rsidRDefault="000E0B1C">
            <w:pPr>
              <w:rPr>
                <w:rFonts w:cs="Arial"/>
                <w:color w:val="000000"/>
                <w:sz w:val="20"/>
                <w:szCs w:val="20"/>
              </w:rPr>
            </w:pPr>
            <w:r w:rsidRPr="000E0B1C">
              <w:rPr>
                <w:rFonts w:cs="Arial"/>
                <w:color w:val="000000"/>
                <w:sz w:val="20"/>
                <w:szCs w:val="20"/>
              </w:rPr>
              <w:t>Water Heating Equipment</w:t>
            </w:r>
          </w:p>
        </w:tc>
        <w:tc>
          <w:tcPr>
            <w:tcW w:w="997" w:type="pct"/>
            <w:noWrap/>
            <w:hideMark/>
          </w:tcPr>
          <w:p w14:paraId="7DEFCC4D" w14:textId="37AC7306" w:rsidR="000E0B1C" w:rsidRPr="000E0B1C" w:rsidRDefault="00ED3005">
            <w:pPr>
              <w:rPr>
                <w:rFonts w:cs="Arial"/>
                <w:color w:val="000000"/>
                <w:sz w:val="20"/>
                <w:szCs w:val="20"/>
              </w:rPr>
            </w:pPr>
            <w:proofErr w:type="spellStart"/>
            <w:r>
              <w:rPr>
                <w:rFonts w:cs="Arial"/>
                <w:color w:val="000000"/>
                <w:sz w:val="20"/>
                <w:szCs w:val="20"/>
              </w:rPr>
              <w:t>WaterHtg_</w:t>
            </w:r>
            <w:r w:rsidR="000E0B1C" w:rsidRPr="000E0B1C">
              <w:rPr>
                <w:rFonts w:cs="Arial"/>
                <w:color w:val="000000"/>
                <w:sz w:val="20"/>
                <w:szCs w:val="20"/>
              </w:rPr>
              <w:t>eq</w:t>
            </w:r>
            <w:proofErr w:type="spellEnd"/>
          </w:p>
        </w:tc>
        <w:tc>
          <w:tcPr>
            <w:tcW w:w="1528" w:type="pct"/>
            <w:noWrap/>
            <w:hideMark/>
          </w:tcPr>
          <w:p w14:paraId="7DEFCC4E" w14:textId="470C0FA0" w:rsidR="000E0B1C" w:rsidRPr="000E0B1C" w:rsidRDefault="00ED3005">
            <w:pPr>
              <w:rPr>
                <w:rFonts w:cs="Arial"/>
                <w:color w:val="000000"/>
                <w:sz w:val="20"/>
                <w:szCs w:val="20"/>
              </w:rPr>
            </w:pPr>
            <w:proofErr w:type="spellStart"/>
            <w:r>
              <w:rPr>
                <w:rFonts w:cs="Arial"/>
                <w:color w:val="000000"/>
                <w:sz w:val="20"/>
                <w:szCs w:val="20"/>
              </w:rPr>
              <w:t>Boiler</w:t>
            </w:r>
            <w:r w:rsidR="00B85128">
              <w:rPr>
                <w:rFonts w:cs="Arial"/>
                <w:color w:val="000000"/>
                <w:sz w:val="20"/>
                <w:szCs w:val="20"/>
              </w:rPr>
              <w:t>_Et</w:t>
            </w:r>
            <w:proofErr w:type="spellEnd"/>
          </w:p>
        </w:tc>
        <w:tc>
          <w:tcPr>
            <w:tcW w:w="935" w:type="pct"/>
            <w:noWrap/>
            <w:hideMark/>
          </w:tcPr>
          <w:p w14:paraId="7DEFCC4F" w14:textId="78391143" w:rsidR="000E0B1C" w:rsidRPr="000E0B1C" w:rsidRDefault="00B85128">
            <w:pPr>
              <w:rPr>
                <w:rFonts w:cs="Arial"/>
                <w:color w:val="000000"/>
                <w:sz w:val="20"/>
                <w:szCs w:val="20"/>
              </w:rPr>
            </w:pPr>
            <w:proofErr w:type="spellStart"/>
            <w:r>
              <w:rPr>
                <w:rFonts w:cs="Arial"/>
                <w:color w:val="000000"/>
                <w:sz w:val="20"/>
                <w:szCs w:val="20"/>
              </w:rPr>
              <w:t>Boiler_Et</w:t>
            </w:r>
            <w:proofErr w:type="spellEnd"/>
          </w:p>
        </w:tc>
      </w:tr>
    </w:tbl>
    <w:p w14:paraId="7DEFCC51" w14:textId="77777777" w:rsidR="002E0043" w:rsidRDefault="001248A3" w:rsidP="002E0043">
      <w:pPr>
        <w:pStyle w:val="Heading2"/>
      </w:pPr>
      <w:bookmarkStart w:id="48" w:name="_Toc304800206"/>
      <w:bookmarkStart w:id="49" w:name="_Toc324318342"/>
      <w:bookmarkStart w:id="50" w:name="_Toc324340486"/>
      <w:bookmarkStart w:id="51" w:name="_Toc481419688"/>
      <w:r>
        <w:lastRenderedPageBreak/>
        <w:t>1.</w:t>
      </w:r>
      <w:r w:rsidR="00FA595F">
        <w:t>4</w:t>
      </w:r>
      <w:r w:rsidR="00793646">
        <w:t>.2</w:t>
      </w:r>
      <w:r w:rsidR="00FA595F">
        <w:t xml:space="preserve"> </w:t>
      </w:r>
      <w:r w:rsidR="00E71EF1" w:rsidRPr="001248A3">
        <w:t xml:space="preserve">Codes &amp; Standards Requirements </w:t>
      </w:r>
      <w:r w:rsidR="009C5CA7">
        <w:t>Base Case and Measure Information</w:t>
      </w:r>
      <w:bookmarkEnd w:id="48"/>
      <w:bookmarkEnd w:id="49"/>
      <w:bookmarkEnd w:id="50"/>
      <w:bookmarkEnd w:id="51"/>
    </w:p>
    <w:p w14:paraId="7DEFCC52" w14:textId="5C34AD74" w:rsidR="00A62582" w:rsidRPr="003803F8" w:rsidRDefault="00A62582" w:rsidP="00A62582">
      <w:pPr>
        <w:pStyle w:val="Reminders"/>
        <w:spacing w:before="0" w:after="0"/>
        <w:rPr>
          <w:rFonts w:ascii="Arial" w:hAnsi="Arial" w:cs="Arial"/>
          <w:i w:val="0"/>
          <w:color w:val="000000" w:themeColor="text1"/>
          <w:sz w:val="20"/>
          <w:szCs w:val="20"/>
        </w:rPr>
      </w:pPr>
      <w:r w:rsidRPr="003803F8">
        <w:rPr>
          <w:rFonts w:ascii="Arial" w:hAnsi="Arial" w:cs="Arial"/>
          <w:i w:val="0"/>
          <w:color w:val="000000" w:themeColor="text1"/>
          <w:sz w:val="20"/>
          <w:szCs w:val="20"/>
        </w:rPr>
        <w:t xml:space="preserve">The </w:t>
      </w:r>
      <w:r w:rsidR="00ED3005">
        <w:rPr>
          <w:rFonts w:ascii="Arial" w:hAnsi="Arial" w:cs="Arial"/>
          <w:i w:val="0"/>
          <w:color w:val="000000" w:themeColor="text1"/>
          <w:sz w:val="20"/>
          <w:szCs w:val="20"/>
        </w:rPr>
        <w:t>2014</w:t>
      </w:r>
      <w:r w:rsidR="003803F8" w:rsidRPr="003803F8">
        <w:rPr>
          <w:rFonts w:ascii="Arial" w:hAnsi="Arial" w:cs="Arial"/>
          <w:i w:val="0"/>
          <w:color w:val="000000" w:themeColor="text1"/>
          <w:sz w:val="20"/>
          <w:szCs w:val="20"/>
        </w:rPr>
        <w:t xml:space="preserve"> California </w:t>
      </w:r>
      <w:r w:rsidR="00ED3005">
        <w:rPr>
          <w:rFonts w:ascii="Arial" w:hAnsi="Arial" w:cs="Arial"/>
          <w:i w:val="0"/>
          <w:color w:val="000000" w:themeColor="text1"/>
          <w:sz w:val="20"/>
          <w:szCs w:val="20"/>
        </w:rPr>
        <w:t xml:space="preserve">Title </w:t>
      </w:r>
      <w:r w:rsidR="003803F8" w:rsidRPr="003803F8">
        <w:rPr>
          <w:rFonts w:ascii="Arial" w:hAnsi="Arial" w:cs="Arial"/>
          <w:i w:val="0"/>
          <w:color w:val="000000" w:themeColor="text1"/>
          <w:sz w:val="20"/>
          <w:szCs w:val="20"/>
        </w:rPr>
        <w:t>Appliance Efficiency Regulations</w:t>
      </w:r>
      <w:bookmarkStart w:id="52" w:name="_Ref328414215"/>
      <w:r w:rsidR="001221C0">
        <w:rPr>
          <w:rStyle w:val="EndnoteReference"/>
          <w:rFonts w:ascii="Arial" w:hAnsi="Arial" w:cs="Arial"/>
          <w:i w:val="0"/>
          <w:color w:val="000000" w:themeColor="text1"/>
          <w:sz w:val="20"/>
          <w:szCs w:val="20"/>
        </w:rPr>
        <w:endnoteReference w:id="2"/>
      </w:r>
      <w:bookmarkEnd w:id="52"/>
      <w:r w:rsidRPr="003803F8">
        <w:rPr>
          <w:rFonts w:ascii="Arial" w:hAnsi="Arial" w:cs="Arial"/>
          <w:i w:val="0"/>
          <w:color w:val="000000" w:themeColor="text1"/>
          <w:sz w:val="20"/>
          <w:szCs w:val="20"/>
        </w:rPr>
        <w:t xml:space="preserve"> </w:t>
      </w:r>
      <w:r w:rsidR="003803F8">
        <w:rPr>
          <w:rFonts w:ascii="Arial" w:hAnsi="Arial" w:cs="Arial"/>
          <w:i w:val="0"/>
          <w:color w:val="000000" w:themeColor="text1"/>
          <w:sz w:val="20"/>
          <w:szCs w:val="20"/>
        </w:rPr>
        <w:t>and 20</w:t>
      </w:r>
      <w:r w:rsidR="00ED3005">
        <w:rPr>
          <w:rFonts w:ascii="Arial" w:hAnsi="Arial" w:cs="Arial"/>
          <w:i w:val="0"/>
          <w:color w:val="000000" w:themeColor="text1"/>
          <w:sz w:val="20"/>
          <w:szCs w:val="20"/>
        </w:rPr>
        <w:t>13</w:t>
      </w:r>
      <w:r w:rsidRPr="003803F8">
        <w:rPr>
          <w:rFonts w:ascii="Arial" w:hAnsi="Arial" w:cs="Arial"/>
          <w:i w:val="0"/>
          <w:color w:val="000000" w:themeColor="text1"/>
          <w:sz w:val="20"/>
          <w:szCs w:val="20"/>
        </w:rPr>
        <w:t xml:space="preserve"> California </w:t>
      </w:r>
      <w:r w:rsidR="00ED3005">
        <w:rPr>
          <w:rFonts w:ascii="Arial" w:hAnsi="Arial" w:cs="Arial"/>
          <w:i w:val="0"/>
          <w:color w:val="000000" w:themeColor="text1"/>
          <w:sz w:val="20"/>
          <w:szCs w:val="20"/>
        </w:rPr>
        <w:t xml:space="preserve">Title 24 </w:t>
      </w:r>
      <w:r w:rsidRPr="003803F8">
        <w:rPr>
          <w:rFonts w:ascii="Arial" w:hAnsi="Arial" w:cs="Arial"/>
          <w:i w:val="0"/>
          <w:color w:val="000000" w:themeColor="text1"/>
          <w:sz w:val="20"/>
          <w:szCs w:val="20"/>
        </w:rPr>
        <w:t>Building Efficiency Standards</w:t>
      </w:r>
      <w:r w:rsidR="0039600E">
        <w:rPr>
          <w:rStyle w:val="EndnoteReference"/>
          <w:rFonts w:ascii="Arial" w:hAnsi="Arial" w:cs="Arial"/>
          <w:i w:val="0"/>
          <w:color w:val="000000" w:themeColor="text1"/>
          <w:sz w:val="20"/>
          <w:szCs w:val="20"/>
        </w:rPr>
        <w:endnoteReference w:id="3"/>
      </w:r>
      <w:r w:rsidR="001221C0">
        <w:rPr>
          <w:rFonts w:ascii="Arial" w:hAnsi="Arial" w:cs="Arial"/>
          <w:i w:val="0"/>
          <w:color w:val="000000" w:themeColor="text1"/>
          <w:sz w:val="20"/>
          <w:szCs w:val="20"/>
        </w:rPr>
        <w:t xml:space="preserve"> </w:t>
      </w:r>
      <w:r w:rsidR="003803F8">
        <w:rPr>
          <w:rFonts w:ascii="Arial" w:hAnsi="Arial" w:cs="Arial"/>
          <w:i w:val="0"/>
          <w:color w:val="000000" w:themeColor="text1"/>
          <w:sz w:val="20"/>
          <w:szCs w:val="20"/>
        </w:rPr>
        <w:t>do</w:t>
      </w:r>
      <w:r w:rsidRPr="003803F8">
        <w:rPr>
          <w:rFonts w:ascii="Arial" w:hAnsi="Arial" w:cs="Arial"/>
          <w:i w:val="0"/>
          <w:color w:val="000000" w:themeColor="text1"/>
          <w:sz w:val="20"/>
          <w:szCs w:val="20"/>
        </w:rPr>
        <w:t xml:space="preserve"> not </w:t>
      </w:r>
      <w:r w:rsidR="00750D83">
        <w:rPr>
          <w:rFonts w:ascii="Arial" w:hAnsi="Arial" w:cs="Arial"/>
          <w:i w:val="0"/>
          <w:color w:val="000000" w:themeColor="text1"/>
          <w:sz w:val="20"/>
          <w:szCs w:val="20"/>
        </w:rPr>
        <w:t>have requirements for</w:t>
      </w:r>
      <w:r w:rsidRPr="003803F8">
        <w:rPr>
          <w:rFonts w:ascii="Arial" w:hAnsi="Arial" w:cs="Arial"/>
          <w:i w:val="0"/>
          <w:color w:val="000000" w:themeColor="text1"/>
          <w:sz w:val="20"/>
          <w:szCs w:val="20"/>
        </w:rPr>
        <w:t xml:space="preserve"> </w:t>
      </w:r>
      <w:r w:rsidR="003803F8">
        <w:rPr>
          <w:rFonts w:ascii="Arial" w:hAnsi="Arial" w:cs="Arial"/>
          <w:i w:val="0"/>
          <w:color w:val="000000" w:themeColor="text1"/>
          <w:sz w:val="20"/>
          <w:szCs w:val="20"/>
        </w:rPr>
        <w:t xml:space="preserve">the </w:t>
      </w:r>
      <w:proofErr w:type="spellStart"/>
      <w:r w:rsidR="00C72B12">
        <w:rPr>
          <w:rFonts w:ascii="Arial" w:hAnsi="Arial" w:cs="Arial"/>
          <w:i w:val="0"/>
          <w:color w:val="000000" w:themeColor="text1"/>
          <w:sz w:val="20"/>
          <w:szCs w:val="20"/>
        </w:rPr>
        <w:t>workpaper</w:t>
      </w:r>
      <w:proofErr w:type="spellEnd"/>
      <w:r w:rsidR="00C72B12">
        <w:rPr>
          <w:rFonts w:ascii="Arial" w:hAnsi="Arial" w:cs="Arial"/>
          <w:i w:val="0"/>
          <w:color w:val="000000" w:themeColor="text1"/>
          <w:sz w:val="20"/>
          <w:szCs w:val="20"/>
        </w:rPr>
        <w:t xml:space="preserve"> measures</w:t>
      </w:r>
      <w:r w:rsidRPr="003803F8">
        <w:rPr>
          <w:rFonts w:ascii="Arial" w:hAnsi="Arial" w:cs="Arial"/>
          <w:i w:val="0"/>
          <w:color w:val="000000" w:themeColor="text1"/>
          <w:sz w:val="20"/>
          <w:szCs w:val="20"/>
        </w:rPr>
        <w:t>.</w:t>
      </w:r>
    </w:p>
    <w:p w14:paraId="7DEFCC53" w14:textId="77777777" w:rsidR="002E0043" w:rsidRDefault="001248A3" w:rsidP="002E0043">
      <w:pPr>
        <w:pStyle w:val="Heading2"/>
        <w:keepNext w:val="0"/>
      </w:pPr>
      <w:bookmarkStart w:id="53" w:name="_Toc304800207"/>
      <w:bookmarkStart w:id="54" w:name="_Toc324318343"/>
      <w:bookmarkStart w:id="55" w:name="_Toc324340487"/>
      <w:bookmarkStart w:id="56" w:name="_Toc481419689"/>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3"/>
      <w:bookmarkEnd w:id="54"/>
      <w:bookmarkEnd w:id="55"/>
      <w:bookmarkEnd w:id="56"/>
    </w:p>
    <w:p w14:paraId="7DEFCC54" w14:textId="77777777" w:rsidR="00432C65" w:rsidRPr="00927C6E" w:rsidRDefault="00971442" w:rsidP="00A35CF8">
      <w:pPr>
        <w:rPr>
          <w:sz w:val="20"/>
          <w:szCs w:val="20"/>
        </w:rPr>
      </w:pPr>
      <w:r w:rsidRPr="00927C6E">
        <w:rPr>
          <w:sz w:val="20"/>
          <w:szCs w:val="20"/>
        </w:rPr>
        <w:t xml:space="preserve">DHW Commissioning and Control System for Lodging Facilities </w:t>
      </w:r>
      <w:proofErr w:type="spellStart"/>
      <w:r w:rsidRPr="00927C6E">
        <w:rPr>
          <w:sz w:val="20"/>
          <w:szCs w:val="20"/>
        </w:rPr>
        <w:t>Workpaper</w:t>
      </w:r>
      <w:proofErr w:type="spellEnd"/>
      <w:r w:rsidRPr="00927C6E">
        <w:rPr>
          <w:sz w:val="20"/>
          <w:szCs w:val="20"/>
        </w:rPr>
        <w:t xml:space="preserve"> for PY2007-2008, prepared by Energy and </w:t>
      </w:r>
      <w:proofErr w:type="spellStart"/>
      <w:r w:rsidRPr="00927C6E">
        <w:rPr>
          <w:sz w:val="20"/>
          <w:szCs w:val="20"/>
        </w:rPr>
        <w:t>Environmenal</w:t>
      </w:r>
      <w:proofErr w:type="spellEnd"/>
      <w:r w:rsidRPr="00927C6E">
        <w:rPr>
          <w:sz w:val="20"/>
          <w:szCs w:val="20"/>
        </w:rPr>
        <w:t xml:space="preserve"> Analysis, Inc., for Southern California Gas Company, March 2008</w:t>
      </w:r>
      <w:bookmarkStart w:id="57" w:name="_Ref328413302"/>
      <w:r w:rsidR="00927C6E" w:rsidRPr="00927C6E">
        <w:rPr>
          <w:rStyle w:val="EndnoteReference"/>
          <w:sz w:val="20"/>
          <w:szCs w:val="20"/>
        </w:rPr>
        <w:endnoteReference w:id="4"/>
      </w:r>
      <w:bookmarkEnd w:id="57"/>
    </w:p>
    <w:p w14:paraId="7DEFCC55" w14:textId="77777777" w:rsidR="009C5CA7" w:rsidRDefault="001248A3" w:rsidP="00B57662">
      <w:pPr>
        <w:pStyle w:val="Heading2"/>
        <w:keepNext w:val="0"/>
      </w:pPr>
      <w:bookmarkStart w:id="58" w:name="_Toc304800208"/>
      <w:bookmarkStart w:id="59" w:name="_Toc324318344"/>
      <w:bookmarkStart w:id="60" w:name="_Toc324340488"/>
      <w:bookmarkStart w:id="61" w:name="_Toc481419690"/>
      <w:r>
        <w:t>1.</w:t>
      </w:r>
      <w:r w:rsidR="00B57662">
        <w:t xml:space="preserve">4.4 </w:t>
      </w:r>
      <w:r w:rsidR="009C5CA7">
        <w:t xml:space="preserve">Assumptions and </w:t>
      </w:r>
      <w:r w:rsidR="00264B03">
        <w:t>Calculations from other sources—Base and Measure Cases</w:t>
      </w:r>
      <w:bookmarkEnd w:id="58"/>
      <w:bookmarkEnd w:id="59"/>
      <w:bookmarkEnd w:id="60"/>
      <w:bookmarkEnd w:id="61"/>
    </w:p>
    <w:p w14:paraId="7DEFCC56" w14:textId="77777777" w:rsidR="00B57662" w:rsidRPr="00D0761F" w:rsidRDefault="00B57662" w:rsidP="00B57662">
      <w:pPr>
        <w:rPr>
          <w:rFonts w:cs="Arial"/>
          <w:sz w:val="20"/>
          <w:szCs w:val="20"/>
        </w:rPr>
      </w:pPr>
    </w:p>
    <w:p w14:paraId="7DEFCC57" w14:textId="2CAB4AC8" w:rsidR="00B57662" w:rsidRPr="00265117" w:rsidRDefault="003A346D" w:rsidP="00B57662">
      <w:pPr>
        <w:autoSpaceDE w:val="0"/>
        <w:autoSpaceDN w:val="0"/>
        <w:adjustRightInd w:val="0"/>
        <w:rPr>
          <w:rFonts w:cs="Arial"/>
          <w:b/>
          <w:i/>
          <w:sz w:val="24"/>
        </w:rPr>
      </w:pPr>
      <w:r>
        <w:rPr>
          <w:rFonts w:cs="Arial"/>
          <w:b/>
          <w:i/>
          <w:sz w:val="24"/>
        </w:rPr>
        <w:t xml:space="preserve">1.4.4.1 Assumption from </w:t>
      </w:r>
      <w:r w:rsidR="00B57662" w:rsidRPr="00265117">
        <w:rPr>
          <w:rFonts w:cs="Arial"/>
          <w:b/>
          <w:i/>
          <w:sz w:val="24"/>
        </w:rPr>
        <w:t xml:space="preserve">California </w:t>
      </w:r>
      <w:r>
        <w:rPr>
          <w:rFonts w:cs="Arial"/>
          <w:b/>
          <w:i/>
          <w:sz w:val="24"/>
        </w:rPr>
        <w:t xml:space="preserve">2014 </w:t>
      </w:r>
      <w:r w:rsidR="00B57662" w:rsidRPr="00265117">
        <w:rPr>
          <w:rFonts w:cs="Arial"/>
          <w:b/>
          <w:i/>
          <w:sz w:val="24"/>
        </w:rPr>
        <w:t>Appliance Efficiency Regulations</w:t>
      </w:r>
      <w:r>
        <w:rPr>
          <w:rFonts w:cs="Arial"/>
          <w:b/>
          <w:i/>
          <w:sz w:val="24"/>
        </w:rPr>
        <w:t>, Table F-2</w:t>
      </w:r>
      <w:r w:rsidR="00B57662" w:rsidRPr="00265117">
        <w:rPr>
          <w:rFonts w:cs="Arial"/>
          <w:b/>
          <w:i/>
          <w:sz w:val="24"/>
        </w:rPr>
        <w:t xml:space="preserve"> - Standards for Large Water Heaters, Effective October 29, 2003</w:t>
      </w:r>
      <w:r w:rsidR="00E916D8" w:rsidRPr="00E916D8">
        <w:rPr>
          <w:rFonts w:cs="Arial"/>
          <w:b/>
          <w:i/>
          <w:sz w:val="24"/>
          <w:vertAlign w:val="superscript"/>
        </w:rPr>
        <w:fldChar w:fldCharType="begin"/>
      </w:r>
      <w:r w:rsidR="00E916D8" w:rsidRPr="00E916D8">
        <w:rPr>
          <w:rFonts w:cs="Arial"/>
          <w:b/>
          <w:i/>
          <w:sz w:val="24"/>
          <w:vertAlign w:val="superscript"/>
        </w:rPr>
        <w:instrText xml:space="preserve"> NOTEREF _Ref328414215 \h </w:instrText>
      </w:r>
      <w:r w:rsidR="00E916D8">
        <w:rPr>
          <w:rFonts w:cs="Arial"/>
          <w:b/>
          <w:i/>
          <w:sz w:val="24"/>
          <w:vertAlign w:val="superscript"/>
        </w:rPr>
        <w:instrText xml:space="preserve"> \* MERGEFORMAT </w:instrText>
      </w:r>
      <w:r w:rsidR="00E916D8" w:rsidRPr="00E916D8">
        <w:rPr>
          <w:rFonts w:cs="Arial"/>
          <w:b/>
          <w:i/>
          <w:sz w:val="24"/>
          <w:vertAlign w:val="superscript"/>
        </w:rPr>
      </w:r>
      <w:r w:rsidR="00E916D8" w:rsidRPr="00E916D8">
        <w:rPr>
          <w:rFonts w:cs="Arial"/>
          <w:b/>
          <w:i/>
          <w:sz w:val="24"/>
          <w:vertAlign w:val="superscript"/>
        </w:rPr>
        <w:fldChar w:fldCharType="separate"/>
      </w:r>
      <w:r w:rsidR="00644DB4">
        <w:rPr>
          <w:rFonts w:cs="Arial"/>
          <w:b/>
          <w:i/>
          <w:sz w:val="24"/>
          <w:vertAlign w:val="superscript"/>
        </w:rPr>
        <w:t>2</w:t>
      </w:r>
      <w:r w:rsidR="00E916D8" w:rsidRPr="00E916D8">
        <w:rPr>
          <w:rFonts w:cs="Arial"/>
          <w:b/>
          <w:i/>
          <w:sz w:val="24"/>
          <w:vertAlign w:val="superscript"/>
        </w:rPr>
        <w:fldChar w:fldCharType="end"/>
      </w:r>
    </w:p>
    <w:p w14:paraId="7DEFCC58" w14:textId="77777777" w:rsidR="00B57662" w:rsidRPr="00D0761F" w:rsidRDefault="00B57662" w:rsidP="00B57662">
      <w:pPr>
        <w:rPr>
          <w:rFonts w:cs="Arial"/>
          <w:sz w:val="20"/>
          <w:szCs w:val="20"/>
        </w:rPr>
      </w:pPr>
    </w:p>
    <w:p w14:paraId="7DEFCC59" w14:textId="77777777" w:rsidR="00B57662" w:rsidRPr="00D0761F" w:rsidRDefault="00750D83" w:rsidP="00B57662">
      <w:pPr>
        <w:pStyle w:val="ListParagraph"/>
        <w:numPr>
          <w:ilvl w:val="0"/>
          <w:numId w:val="25"/>
        </w:numPr>
        <w:rPr>
          <w:rFonts w:cs="Arial"/>
          <w:sz w:val="20"/>
          <w:szCs w:val="20"/>
        </w:rPr>
      </w:pPr>
      <w:r>
        <w:rPr>
          <w:rFonts w:cs="Arial"/>
          <w:sz w:val="20"/>
          <w:szCs w:val="20"/>
        </w:rPr>
        <w:t xml:space="preserve">This </w:t>
      </w:r>
      <w:proofErr w:type="spellStart"/>
      <w:r>
        <w:rPr>
          <w:rFonts w:cs="Arial"/>
          <w:sz w:val="20"/>
          <w:szCs w:val="20"/>
        </w:rPr>
        <w:t>workpaper</w:t>
      </w:r>
      <w:proofErr w:type="spellEnd"/>
      <w:r>
        <w:rPr>
          <w:rFonts w:cs="Arial"/>
          <w:sz w:val="20"/>
          <w:szCs w:val="20"/>
        </w:rPr>
        <w:t xml:space="preserve"> assumes </w:t>
      </w:r>
      <w:r w:rsidR="00473282">
        <w:rPr>
          <w:rFonts w:cs="Arial"/>
          <w:sz w:val="20"/>
          <w:szCs w:val="20"/>
        </w:rPr>
        <w:t xml:space="preserve">avg. </w:t>
      </w:r>
      <w:r w:rsidR="00B57662" w:rsidRPr="00D0761F">
        <w:rPr>
          <w:rFonts w:cs="Arial"/>
          <w:sz w:val="20"/>
          <w:szCs w:val="20"/>
        </w:rPr>
        <w:t xml:space="preserve">80% thermal efficiency for </w:t>
      </w:r>
      <w:r>
        <w:rPr>
          <w:rFonts w:cs="Arial"/>
          <w:sz w:val="20"/>
          <w:szCs w:val="20"/>
        </w:rPr>
        <w:t xml:space="preserve">the </w:t>
      </w:r>
      <w:r w:rsidRPr="00D0761F">
        <w:rPr>
          <w:rFonts w:cs="Arial"/>
          <w:sz w:val="20"/>
          <w:szCs w:val="20"/>
        </w:rPr>
        <w:t>gas hot water supply boiler or</w:t>
      </w:r>
      <w:r>
        <w:rPr>
          <w:rFonts w:cs="Arial"/>
          <w:sz w:val="20"/>
          <w:szCs w:val="20"/>
        </w:rPr>
        <w:t xml:space="preserve"> large gas storage water heater</w:t>
      </w:r>
      <w:r w:rsidR="00B57662" w:rsidRPr="00D0761F">
        <w:rPr>
          <w:rFonts w:cs="Arial"/>
          <w:sz w:val="20"/>
          <w:szCs w:val="20"/>
        </w:rPr>
        <w:t xml:space="preserve"> </w:t>
      </w:r>
      <w:r>
        <w:rPr>
          <w:rFonts w:cs="Arial"/>
          <w:sz w:val="20"/>
          <w:szCs w:val="20"/>
        </w:rPr>
        <w:t>in t</w:t>
      </w:r>
      <w:r w:rsidR="00473282">
        <w:rPr>
          <w:rFonts w:cs="Arial"/>
          <w:sz w:val="20"/>
          <w:szCs w:val="20"/>
        </w:rPr>
        <w:t>he central water heating system.</w:t>
      </w:r>
    </w:p>
    <w:p w14:paraId="7DEFCC5A" w14:textId="77777777" w:rsidR="00B57662" w:rsidRPr="00D0761F" w:rsidRDefault="00B57662" w:rsidP="00B57662">
      <w:pPr>
        <w:rPr>
          <w:rFonts w:cs="Arial"/>
          <w:sz w:val="20"/>
          <w:szCs w:val="20"/>
        </w:rPr>
      </w:pPr>
    </w:p>
    <w:p w14:paraId="7DEFCC5B" w14:textId="77777777" w:rsidR="00B57662" w:rsidRPr="00265117" w:rsidRDefault="00B57662" w:rsidP="00B57662">
      <w:pPr>
        <w:autoSpaceDE w:val="0"/>
        <w:autoSpaceDN w:val="0"/>
        <w:adjustRightInd w:val="0"/>
        <w:rPr>
          <w:rFonts w:cs="Arial"/>
          <w:b/>
          <w:i/>
          <w:sz w:val="24"/>
        </w:rPr>
      </w:pPr>
      <w:r w:rsidRPr="00265117">
        <w:rPr>
          <w:rFonts w:cs="Arial"/>
          <w:b/>
          <w:i/>
          <w:sz w:val="24"/>
        </w:rPr>
        <w:t>1.4.4.2 Assumption from 2009 California Residential Appliance Saturation Survey</w:t>
      </w:r>
      <w:r w:rsidR="00853205">
        <w:rPr>
          <w:rFonts w:cs="Arial"/>
          <w:b/>
          <w:i/>
          <w:sz w:val="24"/>
        </w:rPr>
        <w:t xml:space="preserve"> (RASS)</w:t>
      </w:r>
      <w:r w:rsidRPr="00265117">
        <w:rPr>
          <w:rFonts w:cs="Arial"/>
          <w:b/>
          <w:i/>
          <w:sz w:val="24"/>
        </w:rPr>
        <w:t>, Volume 2 - Study Results, Table 2-21 - Gas UECs by Residence Type for all Households and for Households with Gas</w:t>
      </w:r>
    </w:p>
    <w:p w14:paraId="7DEFCC5C" w14:textId="77777777" w:rsidR="00B57662" w:rsidRPr="0077100D" w:rsidRDefault="00B57662" w:rsidP="00B57662">
      <w:pPr>
        <w:rPr>
          <w:rFonts w:cs="Arial"/>
          <w:b/>
          <w:i/>
          <w:sz w:val="24"/>
        </w:rPr>
      </w:pPr>
      <w:r w:rsidRPr="00265117">
        <w:rPr>
          <w:rFonts w:cs="Arial"/>
          <w:b/>
          <w:i/>
          <w:sz w:val="24"/>
        </w:rPr>
        <w:t>Account Data</w:t>
      </w:r>
      <w:bookmarkStart w:id="62" w:name="_Ref328487822"/>
      <w:r w:rsidR="003C3B75">
        <w:rPr>
          <w:rStyle w:val="EndnoteReference"/>
          <w:rFonts w:cs="Arial"/>
          <w:b/>
          <w:i/>
          <w:sz w:val="24"/>
        </w:rPr>
        <w:endnoteReference w:id="5"/>
      </w:r>
      <w:bookmarkEnd w:id="62"/>
    </w:p>
    <w:p w14:paraId="7DEFCC5D" w14:textId="77777777" w:rsidR="00B57662" w:rsidRPr="00D0761F" w:rsidRDefault="00B57662" w:rsidP="00B57662">
      <w:pPr>
        <w:rPr>
          <w:rFonts w:cs="Arial"/>
          <w:sz w:val="20"/>
          <w:szCs w:val="20"/>
        </w:rPr>
      </w:pPr>
    </w:p>
    <w:p w14:paraId="7DEFCC5E" w14:textId="77777777" w:rsidR="00B57662" w:rsidRPr="00D0761F" w:rsidRDefault="00B57662" w:rsidP="00B57662">
      <w:pPr>
        <w:pStyle w:val="ListParagraph"/>
        <w:numPr>
          <w:ilvl w:val="0"/>
          <w:numId w:val="28"/>
        </w:numPr>
        <w:rPr>
          <w:rFonts w:cs="Arial"/>
          <w:sz w:val="20"/>
          <w:szCs w:val="20"/>
        </w:rPr>
      </w:pPr>
      <w:r w:rsidRPr="00D0761F">
        <w:rPr>
          <w:rFonts w:cs="Arial"/>
          <w:sz w:val="20"/>
          <w:szCs w:val="20"/>
        </w:rPr>
        <w:t xml:space="preserve">This </w:t>
      </w:r>
      <w:proofErr w:type="spellStart"/>
      <w:r w:rsidRPr="00D0761F">
        <w:rPr>
          <w:rFonts w:cs="Arial"/>
          <w:sz w:val="20"/>
          <w:szCs w:val="20"/>
        </w:rPr>
        <w:t>workpaper</w:t>
      </w:r>
      <w:proofErr w:type="spellEnd"/>
      <w:r w:rsidRPr="00D0761F">
        <w:rPr>
          <w:rFonts w:cs="Arial"/>
          <w:sz w:val="20"/>
          <w:szCs w:val="20"/>
        </w:rPr>
        <w:t xml:space="preserve"> assumes avg. 186 </w:t>
      </w:r>
      <w:proofErr w:type="spellStart"/>
      <w:r w:rsidRPr="00D0761F">
        <w:rPr>
          <w:rFonts w:cs="Arial"/>
          <w:sz w:val="20"/>
          <w:szCs w:val="20"/>
        </w:rPr>
        <w:t>therms</w:t>
      </w:r>
      <w:proofErr w:type="spellEnd"/>
      <w:r w:rsidRPr="00D0761F">
        <w:rPr>
          <w:rFonts w:cs="Arial"/>
          <w:sz w:val="20"/>
          <w:szCs w:val="20"/>
        </w:rPr>
        <w:t>/multifamily dwelling unit/</w:t>
      </w:r>
      <w:proofErr w:type="spellStart"/>
      <w:r w:rsidRPr="00D0761F">
        <w:rPr>
          <w:rFonts w:cs="Arial"/>
          <w:sz w:val="20"/>
          <w:szCs w:val="20"/>
        </w:rPr>
        <w:t>yr</w:t>
      </w:r>
      <w:proofErr w:type="spellEnd"/>
      <w:r w:rsidRPr="00D0761F">
        <w:rPr>
          <w:rFonts w:cs="Arial"/>
          <w:sz w:val="20"/>
          <w:szCs w:val="20"/>
        </w:rPr>
        <w:t xml:space="preserve"> </w:t>
      </w:r>
      <w:r w:rsidR="007F3F18">
        <w:rPr>
          <w:rFonts w:cs="Arial"/>
          <w:sz w:val="20"/>
          <w:szCs w:val="20"/>
        </w:rPr>
        <w:t>Unit Energy Consumption (UEC)</w:t>
      </w:r>
      <w:r w:rsidR="00B01748">
        <w:rPr>
          <w:rFonts w:cs="Arial"/>
          <w:sz w:val="20"/>
          <w:szCs w:val="20"/>
        </w:rPr>
        <w:t xml:space="preserve"> </w:t>
      </w:r>
      <w:r w:rsidR="004F53A7">
        <w:rPr>
          <w:rFonts w:cs="Arial"/>
          <w:sz w:val="20"/>
          <w:szCs w:val="20"/>
        </w:rPr>
        <w:t>for</w:t>
      </w:r>
      <w:r w:rsidR="007F3F18">
        <w:rPr>
          <w:rFonts w:cs="Arial"/>
          <w:sz w:val="20"/>
          <w:szCs w:val="20"/>
        </w:rPr>
        <w:t xml:space="preserve"> the “no control” </w:t>
      </w:r>
      <w:r w:rsidRPr="00D0761F">
        <w:rPr>
          <w:rFonts w:cs="Arial"/>
          <w:sz w:val="20"/>
          <w:szCs w:val="20"/>
        </w:rPr>
        <w:t>base case.</w:t>
      </w:r>
    </w:p>
    <w:p w14:paraId="7DEFCC5F" w14:textId="77777777" w:rsidR="00B57662" w:rsidRPr="00D0761F" w:rsidRDefault="00B57662" w:rsidP="00B57662">
      <w:pPr>
        <w:rPr>
          <w:rFonts w:cs="Arial"/>
          <w:sz w:val="20"/>
          <w:szCs w:val="20"/>
        </w:rPr>
      </w:pPr>
    </w:p>
    <w:p w14:paraId="7DEFCC60" w14:textId="77777777" w:rsidR="00B57662" w:rsidRPr="00265117" w:rsidRDefault="00B57662" w:rsidP="00B57662">
      <w:pPr>
        <w:rPr>
          <w:rFonts w:cs="Arial"/>
          <w:b/>
          <w:i/>
          <w:sz w:val="24"/>
        </w:rPr>
      </w:pPr>
      <w:r w:rsidRPr="00265117">
        <w:rPr>
          <w:rFonts w:cs="Arial"/>
          <w:b/>
          <w:i/>
          <w:sz w:val="24"/>
        </w:rPr>
        <w:t>1.4.4.3 Assumptions from 2013 California</w:t>
      </w:r>
      <w:r w:rsidR="00853205">
        <w:rPr>
          <w:rFonts w:cs="Arial"/>
          <w:b/>
          <w:i/>
          <w:sz w:val="24"/>
        </w:rPr>
        <w:t xml:space="preserve"> Building Efficiency Standards (</w:t>
      </w:r>
      <w:r w:rsidRPr="00265117">
        <w:rPr>
          <w:rFonts w:cs="Arial"/>
          <w:b/>
          <w:i/>
          <w:sz w:val="24"/>
        </w:rPr>
        <w:t>Title 24</w:t>
      </w:r>
      <w:r w:rsidR="00853205">
        <w:rPr>
          <w:rFonts w:cs="Arial"/>
          <w:b/>
          <w:i/>
          <w:sz w:val="24"/>
        </w:rPr>
        <w:t>)</w:t>
      </w:r>
      <w:r w:rsidRPr="00265117">
        <w:rPr>
          <w:rFonts w:cs="Arial"/>
          <w:b/>
          <w:i/>
          <w:sz w:val="24"/>
        </w:rPr>
        <w:t>, Guest Room Occupancy Controls, Section 3.1.1 - Hotel Prototype, and Section 3.1.2 - Motel Prototype, October 2011</w:t>
      </w:r>
      <w:r w:rsidR="0077100D">
        <w:rPr>
          <w:rStyle w:val="EndnoteReference"/>
          <w:rFonts w:cs="Arial"/>
          <w:b/>
          <w:i/>
          <w:sz w:val="24"/>
        </w:rPr>
        <w:endnoteReference w:id="6"/>
      </w:r>
    </w:p>
    <w:p w14:paraId="7DEFCC61" w14:textId="77777777" w:rsidR="00B57662" w:rsidRPr="00D0761F" w:rsidRDefault="00B57662" w:rsidP="00B57662">
      <w:pPr>
        <w:rPr>
          <w:rFonts w:cs="Arial"/>
          <w:sz w:val="20"/>
          <w:szCs w:val="20"/>
        </w:rPr>
      </w:pPr>
    </w:p>
    <w:p w14:paraId="7DEFCC62" w14:textId="77777777" w:rsidR="00B57662" w:rsidRPr="00D0761F" w:rsidRDefault="00B57662" w:rsidP="00B57662">
      <w:pPr>
        <w:pStyle w:val="ListParagraph"/>
        <w:numPr>
          <w:ilvl w:val="0"/>
          <w:numId w:val="22"/>
        </w:numPr>
        <w:rPr>
          <w:rFonts w:cs="Arial"/>
          <w:sz w:val="20"/>
          <w:szCs w:val="20"/>
        </w:rPr>
      </w:pPr>
      <w:r w:rsidRPr="00D0761F">
        <w:rPr>
          <w:rFonts w:cs="Arial"/>
          <w:sz w:val="20"/>
          <w:szCs w:val="20"/>
        </w:rPr>
        <w:t>Avg. 404 sq. ft. hotel guest room size</w:t>
      </w:r>
    </w:p>
    <w:p w14:paraId="7DEFCC63" w14:textId="77777777" w:rsidR="00B57662" w:rsidRPr="00D0761F" w:rsidRDefault="00B57662" w:rsidP="00B57662">
      <w:pPr>
        <w:pStyle w:val="ListParagraph"/>
        <w:numPr>
          <w:ilvl w:val="0"/>
          <w:numId w:val="22"/>
        </w:numPr>
        <w:rPr>
          <w:rFonts w:cs="Arial"/>
          <w:sz w:val="20"/>
          <w:szCs w:val="20"/>
        </w:rPr>
      </w:pPr>
      <w:r w:rsidRPr="00D0761F">
        <w:rPr>
          <w:rFonts w:cs="Arial"/>
          <w:sz w:val="20"/>
          <w:szCs w:val="20"/>
        </w:rPr>
        <w:t>Avg. 322 sq. ft. motel guest room size</w:t>
      </w:r>
    </w:p>
    <w:p w14:paraId="7DEFCC64" w14:textId="77777777" w:rsidR="00B57662" w:rsidRPr="00D0761F" w:rsidRDefault="00B57662" w:rsidP="00B57662">
      <w:pPr>
        <w:pStyle w:val="ListParagraph"/>
        <w:numPr>
          <w:ilvl w:val="0"/>
          <w:numId w:val="22"/>
        </w:numPr>
        <w:rPr>
          <w:rFonts w:cs="Arial"/>
          <w:sz w:val="20"/>
          <w:szCs w:val="20"/>
        </w:rPr>
      </w:pPr>
      <w:r w:rsidRPr="00D0761F">
        <w:rPr>
          <w:rFonts w:cs="Arial"/>
          <w:sz w:val="20"/>
          <w:szCs w:val="20"/>
        </w:rPr>
        <w:t xml:space="preserve">This </w:t>
      </w:r>
      <w:proofErr w:type="spellStart"/>
      <w:r w:rsidRPr="00D0761F">
        <w:rPr>
          <w:rFonts w:cs="Arial"/>
          <w:sz w:val="20"/>
          <w:szCs w:val="20"/>
        </w:rPr>
        <w:t>workpaper</w:t>
      </w:r>
      <w:proofErr w:type="spellEnd"/>
      <w:r w:rsidRPr="00D0761F">
        <w:rPr>
          <w:rFonts w:cs="Arial"/>
          <w:sz w:val="20"/>
          <w:szCs w:val="20"/>
        </w:rPr>
        <w:t xml:space="preserve"> assumes avg. 363 sq. ft. lodging guest room size = </w:t>
      </w:r>
      <w:r w:rsidR="00531EC2">
        <w:rPr>
          <w:rFonts w:cs="Arial"/>
          <w:sz w:val="20"/>
          <w:szCs w:val="20"/>
        </w:rPr>
        <w:t>AVERAGE</w:t>
      </w:r>
      <w:r w:rsidRPr="00D0761F">
        <w:rPr>
          <w:rFonts w:cs="Arial"/>
          <w:sz w:val="20"/>
          <w:szCs w:val="20"/>
        </w:rPr>
        <w:t>(404,322)</w:t>
      </w:r>
    </w:p>
    <w:p w14:paraId="7DEFCC65" w14:textId="77777777" w:rsidR="00B57662" w:rsidRPr="00D0761F" w:rsidRDefault="00B57662" w:rsidP="00B57662">
      <w:pPr>
        <w:rPr>
          <w:rFonts w:cs="Arial"/>
          <w:sz w:val="20"/>
          <w:szCs w:val="20"/>
        </w:rPr>
      </w:pPr>
    </w:p>
    <w:p w14:paraId="7DEFCC66" w14:textId="77777777" w:rsidR="00B57662" w:rsidRPr="00265117" w:rsidRDefault="00B57662" w:rsidP="00B57662">
      <w:pPr>
        <w:rPr>
          <w:rFonts w:cs="Arial"/>
          <w:b/>
          <w:i/>
          <w:sz w:val="24"/>
        </w:rPr>
      </w:pPr>
      <w:r w:rsidRPr="00265117">
        <w:rPr>
          <w:rFonts w:cs="Arial"/>
          <w:b/>
          <w:i/>
          <w:sz w:val="24"/>
        </w:rPr>
        <w:t>1.4.4.4 Assumption from 2006 California Commercial End-Use Survey (CEUS), PG&amp;E Results by Segment, Table 9-29, Lodging Natural Gas EUIs, Fuel Shares, and EIs, Page 192</w:t>
      </w:r>
      <w:bookmarkStart w:id="63" w:name="_Ref328414929"/>
      <w:r w:rsidR="00F72C83">
        <w:rPr>
          <w:rStyle w:val="EndnoteReference"/>
          <w:rFonts w:cs="Arial"/>
          <w:b/>
          <w:i/>
          <w:sz w:val="24"/>
        </w:rPr>
        <w:endnoteReference w:id="7"/>
      </w:r>
      <w:bookmarkEnd w:id="63"/>
    </w:p>
    <w:p w14:paraId="7DEFCC67" w14:textId="77777777" w:rsidR="00B57662" w:rsidRPr="00D0761F" w:rsidRDefault="00B57662" w:rsidP="00B57662">
      <w:pPr>
        <w:rPr>
          <w:rFonts w:cs="Arial"/>
          <w:sz w:val="20"/>
          <w:szCs w:val="20"/>
        </w:rPr>
      </w:pPr>
    </w:p>
    <w:p w14:paraId="7DEFCC68" w14:textId="77777777" w:rsidR="00B57662" w:rsidRPr="00D0761F" w:rsidRDefault="00B57662" w:rsidP="00B57662">
      <w:pPr>
        <w:pStyle w:val="ListParagraph"/>
        <w:numPr>
          <w:ilvl w:val="0"/>
          <w:numId w:val="24"/>
        </w:numPr>
        <w:rPr>
          <w:rFonts w:cs="Arial"/>
          <w:sz w:val="20"/>
          <w:szCs w:val="20"/>
        </w:rPr>
      </w:pPr>
      <w:r w:rsidRPr="00D0761F">
        <w:rPr>
          <w:rFonts w:cs="Arial"/>
          <w:sz w:val="20"/>
          <w:szCs w:val="20"/>
        </w:rPr>
        <w:t xml:space="preserve">This </w:t>
      </w:r>
      <w:proofErr w:type="spellStart"/>
      <w:r w:rsidRPr="00D0761F">
        <w:rPr>
          <w:rFonts w:cs="Arial"/>
          <w:sz w:val="20"/>
          <w:szCs w:val="20"/>
        </w:rPr>
        <w:t>workpaper</w:t>
      </w:r>
      <w:proofErr w:type="spellEnd"/>
      <w:r w:rsidRPr="00D0761F">
        <w:rPr>
          <w:rFonts w:cs="Arial"/>
          <w:sz w:val="20"/>
          <w:szCs w:val="20"/>
        </w:rPr>
        <w:t xml:space="preserve"> assumes avg. 116 </w:t>
      </w:r>
      <w:proofErr w:type="spellStart"/>
      <w:r w:rsidRPr="00D0761F">
        <w:rPr>
          <w:rFonts w:cs="Arial"/>
          <w:sz w:val="20"/>
          <w:szCs w:val="20"/>
        </w:rPr>
        <w:t>therms</w:t>
      </w:r>
      <w:proofErr w:type="spellEnd"/>
      <w:r w:rsidRPr="00D0761F">
        <w:rPr>
          <w:rFonts w:cs="Arial"/>
          <w:sz w:val="20"/>
          <w:szCs w:val="20"/>
        </w:rPr>
        <w:t>/lodging g</w:t>
      </w:r>
      <w:r w:rsidR="00B01748">
        <w:rPr>
          <w:rFonts w:cs="Arial"/>
          <w:sz w:val="20"/>
          <w:szCs w:val="20"/>
        </w:rPr>
        <w:t>uest room/</w:t>
      </w:r>
      <w:proofErr w:type="spellStart"/>
      <w:r w:rsidR="00B01748">
        <w:rPr>
          <w:rFonts w:cs="Arial"/>
          <w:sz w:val="20"/>
          <w:szCs w:val="20"/>
        </w:rPr>
        <w:t>yr</w:t>
      </w:r>
      <w:proofErr w:type="spellEnd"/>
      <w:r w:rsidR="00B01748">
        <w:rPr>
          <w:rFonts w:cs="Arial"/>
          <w:sz w:val="20"/>
          <w:szCs w:val="20"/>
        </w:rPr>
        <w:t xml:space="preserve"> for the “no control” base case = [</w:t>
      </w:r>
      <w:r w:rsidRPr="00D0761F">
        <w:rPr>
          <w:rFonts w:cs="Arial"/>
          <w:sz w:val="20"/>
          <w:szCs w:val="20"/>
        </w:rPr>
        <w:t xml:space="preserve">31.98 </w:t>
      </w:r>
      <w:proofErr w:type="spellStart"/>
      <w:r w:rsidRPr="00D0761F">
        <w:rPr>
          <w:rFonts w:cs="Arial"/>
          <w:sz w:val="20"/>
          <w:szCs w:val="20"/>
        </w:rPr>
        <w:t>kBtu</w:t>
      </w:r>
      <w:proofErr w:type="spellEnd"/>
      <w:r w:rsidRPr="00D0761F">
        <w:rPr>
          <w:rFonts w:cs="Arial"/>
          <w:sz w:val="20"/>
          <w:szCs w:val="20"/>
        </w:rPr>
        <w:t xml:space="preserve">/End-Use sq. ft. </w:t>
      </w:r>
      <w:r w:rsidR="00B01748">
        <w:rPr>
          <w:rFonts w:cs="Arial"/>
          <w:sz w:val="20"/>
          <w:szCs w:val="20"/>
        </w:rPr>
        <w:t>Energy Use I</w:t>
      </w:r>
      <w:r w:rsidR="00B01748" w:rsidRPr="00D0761F">
        <w:rPr>
          <w:rFonts w:cs="Arial"/>
          <w:sz w:val="20"/>
          <w:szCs w:val="20"/>
        </w:rPr>
        <w:t>ndex (EUI)</w:t>
      </w:r>
      <w:r w:rsidR="00B01748">
        <w:rPr>
          <w:rFonts w:cs="Arial"/>
          <w:sz w:val="20"/>
          <w:szCs w:val="20"/>
        </w:rPr>
        <w:t>]</w:t>
      </w:r>
      <w:r w:rsidRPr="00D0761F">
        <w:rPr>
          <w:rFonts w:cs="Arial"/>
          <w:sz w:val="20"/>
          <w:szCs w:val="20"/>
        </w:rPr>
        <w:t>*(avg. 363 sq. ft. lodging guest room size, previous a</w:t>
      </w:r>
      <w:r w:rsidR="00B01748">
        <w:rPr>
          <w:rFonts w:cs="Arial"/>
          <w:sz w:val="20"/>
          <w:szCs w:val="20"/>
        </w:rPr>
        <w:t>ssumption)/(100,000 Btu/</w:t>
      </w:r>
      <w:proofErr w:type="spellStart"/>
      <w:r w:rsidR="00B01748">
        <w:rPr>
          <w:rFonts w:cs="Arial"/>
          <w:sz w:val="20"/>
          <w:szCs w:val="20"/>
        </w:rPr>
        <w:t>therm</w:t>
      </w:r>
      <w:proofErr w:type="spellEnd"/>
      <w:r w:rsidR="00B01748">
        <w:rPr>
          <w:rFonts w:cs="Arial"/>
          <w:sz w:val="20"/>
          <w:szCs w:val="20"/>
        </w:rPr>
        <w:t>)</w:t>
      </w:r>
    </w:p>
    <w:p w14:paraId="7DEFCC69" w14:textId="77777777" w:rsidR="00B57662" w:rsidRPr="00D0761F" w:rsidRDefault="00B57662" w:rsidP="00B57662">
      <w:pPr>
        <w:rPr>
          <w:rFonts w:cs="Arial"/>
          <w:sz w:val="20"/>
          <w:szCs w:val="20"/>
        </w:rPr>
      </w:pPr>
    </w:p>
    <w:p w14:paraId="7DEFCC6A" w14:textId="57EB6503" w:rsidR="00B57662" w:rsidRPr="00265117" w:rsidRDefault="00B57662" w:rsidP="00B57662">
      <w:pPr>
        <w:rPr>
          <w:rFonts w:cs="Arial"/>
          <w:b/>
          <w:i/>
          <w:sz w:val="24"/>
        </w:rPr>
      </w:pPr>
      <w:r w:rsidRPr="00265117">
        <w:rPr>
          <w:rFonts w:cs="Arial"/>
          <w:b/>
          <w:i/>
          <w:sz w:val="24"/>
        </w:rPr>
        <w:t>1.4.4.5 Assumption from 2013 California</w:t>
      </w:r>
      <w:r w:rsidR="00853205">
        <w:rPr>
          <w:rFonts w:cs="Arial"/>
          <w:b/>
          <w:i/>
          <w:sz w:val="24"/>
        </w:rPr>
        <w:t xml:space="preserve"> </w:t>
      </w:r>
      <w:r w:rsidR="003A346D">
        <w:rPr>
          <w:rFonts w:cs="Arial"/>
          <w:b/>
          <w:i/>
          <w:sz w:val="24"/>
        </w:rPr>
        <w:t>Title 24 Building Efficiency Standards</w:t>
      </w:r>
      <w:r w:rsidRPr="00265117">
        <w:rPr>
          <w:rFonts w:cs="Arial"/>
          <w:b/>
          <w:i/>
          <w:sz w:val="24"/>
        </w:rPr>
        <w:t>, Water and Space Heating ACM Improvement, Section 4.2.1 - DHW Recirculation System Performance Algorithms, October 2011</w:t>
      </w:r>
      <w:r w:rsidR="00E84ED0">
        <w:rPr>
          <w:rStyle w:val="EndnoteReference"/>
          <w:rFonts w:cs="Arial"/>
          <w:b/>
          <w:i/>
          <w:sz w:val="24"/>
        </w:rPr>
        <w:endnoteReference w:id="8"/>
      </w:r>
    </w:p>
    <w:p w14:paraId="7DEFCC6B" w14:textId="77777777" w:rsidR="00B57662" w:rsidRPr="00D0761F" w:rsidRDefault="00B57662" w:rsidP="00B57662">
      <w:pPr>
        <w:rPr>
          <w:rFonts w:cs="Arial"/>
          <w:sz w:val="20"/>
          <w:szCs w:val="20"/>
        </w:rPr>
      </w:pPr>
    </w:p>
    <w:p w14:paraId="7DEFCC6C" w14:textId="77777777" w:rsidR="00B57662" w:rsidRPr="00D0761F" w:rsidRDefault="00B57662" w:rsidP="00B57662">
      <w:pPr>
        <w:pStyle w:val="ListParagraph"/>
        <w:numPr>
          <w:ilvl w:val="0"/>
          <w:numId w:val="26"/>
        </w:numPr>
        <w:rPr>
          <w:rFonts w:cs="Arial"/>
          <w:sz w:val="20"/>
          <w:szCs w:val="20"/>
        </w:rPr>
      </w:pPr>
      <w:r w:rsidRPr="00D0761F">
        <w:rPr>
          <w:rFonts w:cs="Arial"/>
          <w:sz w:val="20"/>
          <w:szCs w:val="20"/>
        </w:rPr>
        <w:t xml:space="preserve">“The PIER research performed field performance monitoring studies at more than thirty multifamily buildings across California.  Using an energy flow analysis method, the research found that the average central DHW system efficiency is only 34%.  Distribution system heat </w:t>
      </w:r>
      <w:r w:rsidRPr="00D0761F">
        <w:rPr>
          <w:rFonts w:cs="Arial"/>
          <w:sz w:val="20"/>
          <w:szCs w:val="20"/>
        </w:rPr>
        <w:lastRenderedPageBreak/>
        <w:t xml:space="preserve">losses represent about one-third of the total system energy consumption, with recirculation loop loss being the dominant distribution heat loss component.”  This </w:t>
      </w:r>
      <w:proofErr w:type="spellStart"/>
      <w:r w:rsidRPr="00D0761F">
        <w:rPr>
          <w:rFonts w:cs="Arial"/>
          <w:sz w:val="20"/>
          <w:szCs w:val="20"/>
        </w:rPr>
        <w:t>workpaper</w:t>
      </w:r>
      <w:proofErr w:type="spellEnd"/>
      <w:r w:rsidRPr="00D0761F">
        <w:rPr>
          <w:rFonts w:cs="Arial"/>
          <w:sz w:val="20"/>
          <w:szCs w:val="20"/>
        </w:rPr>
        <w:t xml:space="preserve"> assumes avg. 30% water heating gas consumption for supply &amp; return water piping heat losses.</w:t>
      </w:r>
    </w:p>
    <w:p w14:paraId="7DEFCC6D" w14:textId="77777777" w:rsidR="00B57662" w:rsidRPr="00D0761F" w:rsidRDefault="00B57662" w:rsidP="00B57662">
      <w:pPr>
        <w:rPr>
          <w:rFonts w:cs="Arial"/>
          <w:sz w:val="20"/>
          <w:szCs w:val="20"/>
        </w:rPr>
      </w:pPr>
    </w:p>
    <w:p w14:paraId="7DEFCC6E" w14:textId="77777777" w:rsidR="00B57662" w:rsidRPr="00265117" w:rsidRDefault="00B57662" w:rsidP="00B57662">
      <w:pPr>
        <w:rPr>
          <w:rFonts w:cs="Arial"/>
          <w:b/>
          <w:i/>
          <w:sz w:val="24"/>
        </w:rPr>
      </w:pPr>
      <w:r w:rsidRPr="00265117">
        <w:rPr>
          <w:rFonts w:cs="Arial"/>
          <w:b/>
          <w:i/>
          <w:sz w:val="24"/>
        </w:rPr>
        <w:t>1.4.4.6 Assumptions from 2013 California</w:t>
      </w:r>
      <w:r w:rsidR="00853205">
        <w:rPr>
          <w:rFonts w:cs="Arial"/>
          <w:b/>
          <w:i/>
          <w:sz w:val="24"/>
        </w:rPr>
        <w:t xml:space="preserve"> Building Efficiency Standards (</w:t>
      </w:r>
      <w:r w:rsidRPr="00265117">
        <w:rPr>
          <w:rFonts w:cs="Arial"/>
          <w:b/>
          <w:i/>
          <w:sz w:val="24"/>
        </w:rPr>
        <w:t>Title 24</w:t>
      </w:r>
      <w:r w:rsidR="00853205">
        <w:rPr>
          <w:rFonts w:cs="Arial"/>
          <w:b/>
          <w:i/>
          <w:sz w:val="24"/>
        </w:rPr>
        <w:t>)</w:t>
      </w:r>
      <w:r w:rsidRPr="00265117">
        <w:rPr>
          <w:rFonts w:cs="Arial"/>
          <w:b/>
          <w:i/>
          <w:sz w:val="24"/>
        </w:rPr>
        <w:t>, Water and Space Heating ACM Improvement, Table RE-4 - Recirculation Loop Supply temperature and Pump Operation Schedule, October 2011</w:t>
      </w:r>
      <w:r w:rsidR="00903383">
        <w:rPr>
          <w:rStyle w:val="EndnoteReference"/>
          <w:rFonts w:cs="Arial"/>
          <w:b/>
          <w:i/>
          <w:sz w:val="24"/>
        </w:rPr>
        <w:endnoteReference w:id="9"/>
      </w:r>
      <w:r w:rsidR="006C5568" w:rsidRPr="00265117">
        <w:rPr>
          <w:rFonts w:cs="Arial"/>
          <w:b/>
          <w:i/>
          <w:sz w:val="24"/>
        </w:rPr>
        <w:t xml:space="preserve"> </w:t>
      </w:r>
    </w:p>
    <w:p w14:paraId="7DEFCC6F" w14:textId="77777777" w:rsidR="00B57662" w:rsidRPr="00D0761F" w:rsidRDefault="00B57662" w:rsidP="00B57662">
      <w:pPr>
        <w:rPr>
          <w:rFonts w:cs="Arial"/>
          <w:sz w:val="20"/>
          <w:szCs w:val="20"/>
        </w:rPr>
      </w:pPr>
    </w:p>
    <w:p w14:paraId="7DEFCC70" w14:textId="77777777" w:rsidR="00B57662" w:rsidRPr="00D0761F" w:rsidRDefault="00B57662" w:rsidP="00B57662">
      <w:pPr>
        <w:pStyle w:val="ListParagraph"/>
        <w:numPr>
          <w:ilvl w:val="0"/>
          <w:numId w:val="27"/>
        </w:numPr>
        <w:rPr>
          <w:rFonts w:cs="Arial"/>
          <w:sz w:val="20"/>
          <w:szCs w:val="20"/>
        </w:rPr>
      </w:pPr>
      <w:r w:rsidRPr="00D0761F">
        <w:rPr>
          <w:rFonts w:cs="Arial"/>
          <w:sz w:val="20"/>
          <w:szCs w:val="20"/>
        </w:rPr>
        <w:t xml:space="preserve">Avg. 135 </w:t>
      </w:r>
      <w:r w:rsidR="00B01748">
        <w:rPr>
          <w:rFonts w:cs="Arial"/>
          <w:sz w:val="20"/>
          <w:szCs w:val="20"/>
        </w:rPr>
        <w:t xml:space="preserve">deg. F supply water temperature </w:t>
      </w:r>
      <w:r w:rsidRPr="00D0761F">
        <w:rPr>
          <w:rFonts w:cs="Arial"/>
          <w:sz w:val="20"/>
          <w:szCs w:val="20"/>
        </w:rPr>
        <w:t>for “no control” base case</w:t>
      </w:r>
    </w:p>
    <w:p w14:paraId="7DEFCC71" w14:textId="2A4891F9" w:rsidR="00B57662" w:rsidRPr="00D0761F" w:rsidRDefault="00B57662" w:rsidP="00B57662">
      <w:pPr>
        <w:pStyle w:val="ListParagraph"/>
        <w:numPr>
          <w:ilvl w:val="0"/>
          <w:numId w:val="27"/>
        </w:numPr>
        <w:rPr>
          <w:rFonts w:cs="Arial"/>
          <w:sz w:val="20"/>
          <w:szCs w:val="20"/>
        </w:rPr>
      </w:pPr>
      <w:r w:rsidRPr="00D0761F">
        <w:rPr>
          <w:rFonts w:cs="Arial"/>
          <w:sz w:val="20"/>
          <w:szCs w:val="20"/>
        </w:rPr>
        <w:t>Avg. 132.5 deg. F supply water temperature f</w:t>
      </w:r>
      <w:r w:rsidR="00C03DE9">
        <w:rPr>
          <w:rFonts w:cs="Arial"/>
          <w:sz w:val="20"/>
          <w:szCs w:val="20"/>
        </w:rPr>
        <w:t xml:space="preserve">or </w:t>
      </w:r>
      <w:r w:rsidR="00635B9F">
        <w:rPr>
          <w:rFonts w:cs="Arial"/>
          <w:sz w:val="20"/>
          <w:szCs w:val="20"/>
        </w:rPr>
        <w:t>HA10</w:t>
      </w:r>
      <w:r w:rsidR="003A346D">
        <w:rPr>
          <w:rFonts w:cs="Arial"/>
          <w:sz w:val="20"/>
          <w:szCs w:val="20"/>
        </w:rPr>
        <w:t xml:space="preserve"> and </w:t>
      </w:r>
      <w:r w:rsidR="00635B9F">
        <w:rPr>
          <w:rFonts w:cs="Arial"/>
          <w:sz w:val="20"/>
          <w:szCs w:val="20"/>
        </w:rPr>
        <w:t>HA13</w:t>
      </w:r>
    </w:p>
    <w:p w14:paraId="7DEFCC73" w14:textId="77777777" w:rsidR="00B57662" w:rsidRPr="00D0761F" w:rsidRDefault="00B57662" w:rsidP="00B57662">
      <w:pPr>
        <w:rPr>
          <w:rFonts w:cs="Arial"/>
          <w:sz w:val="20"/>
          <w:szCs w:val="20"/>
        </w:rPr>
      </w:pPr>
    </w:p>
    <w:p w14:paraId="7DEFCC74" w14:textId="77777777" w:rsidR="00B57662" w:rsidRPr="00265117" w:rsidRDefault="00B57662" w:rsidP="00B57662">
      <w:pPr>
        <w:rPr>
          <w:rFonts w:cs="Arial"/>
          <w:b/>
          <w:i/>
          <w:sz w:val="24"/>
        </w:rPr>
      </w:pPr>
      <w:r w:rsidRPr="00265117">
        <w:rPr>
          <w:rFonts w:cs="Arial"/>
          <w:b/>
          <w:i/>
          <w:sz w:val="24"/>
        </w:rPr>
        <w:t>1.4.4.7 Assumptions from PG&amp;E energy audits and technology reviews</w:t>
      </w:r>
    </w:p>
    <w:p w14:paraId="7DEFCC75" w14:textId="77777777" w:rsidR="00B57662" w:rsidRPr="00D0761F" w:rsidRDefault="00B57662" w:rsidP="00B57662">
      <w:pPr>
        <w:rPr>
          <w:rFonts w:cs="Arial"/>
          <w:sz w:val="20"/>
          <w:szCs w:val="20"/>
        </w:rPr>
      </w:pPr>
    </w:p>
    <w:p w14:paraId="7DEFCC76" w14:textId="77777777" w:rsidR="00B57662" w:rsidRPr="00705FF6" w:rsidRDefault="00705FF6" w:rsidP="00705FF6">
      <w:pPr>
        <w:pStyle w:val="ListParagraph"/>
        <w:numPr>
          <w:ilvl w:val="0"/>
          <w:numId w:val="23"/>
        </w:numPr>
        <w:rPr>
          <w:rFonts w:cs="Arial"/>
          <w:sz w:val="20"/>
          <w:szCs w:val="20"/>
        </w:rPr>
      </w:pPr>
      <w:r>
        <w:rPr>
          <w:rFonts w:cs="Arial"/>
          <w:sz w:val="20"/>
          <w:szCs w:val="20"/>
        </w:rPr>
        <w:t>A</w:t>
      </w:r>
      <w:r w:rsidR="00B57662" w:rsidRPr="00D0761F">
        <w:rPr>
          <w:rFonts w:cs="Arial"/>
          <w:sz w:val="20"/>
          <w:szCs w:val="20"/>
        </w:rPr>
        <w:t>vg. 5 deg. F lower supply &amp; return wa</w:t>
      </w:r>
      <w:r>
        <w:rPr>
          <w:rFonts w:cs="Arial"/>
          <w:sz w:val="20"/>
          <w:szCs w:val="20"/>
        </w:rPr>
        <w:t>ter piping temperature than supply water temperature</w:t>
      </w:r>
    </w:p>
    <w:p w14:paraId="7DEFCC77" w14:textId="77777777" w:rsidR="00B57662" w:rsidRPr="00D0761F" w:rsidRDefault="00B57662" w:rsidP="00B57662">
      <w:pPr>
        <w:pStyle w:val="ListParagraph"/>
        <w:numPr>
          <w:ilvl w:val="0"/>
          <w:numId w:val="23"/>
        </w:numPr>
        <w:rPr>
          <w:rFonts w:cs="Arial"/>
          <w:sz w:val="20"/>
          <w:szCs w:val="20"/>
        </w:rPr>
      </w:pPr>
      <w:r w:rsidRPr="00D0761F">
        <w:rPr>
          <w:rFonts w:cs="Arial"/>
          <w:sz w:val="20"/>
          <w:szCs w:val="20"/>
        </w:rPr>
        <w:t>Avg. 60 deg. F supply &amp; return water piping surroundings temperature</w:t>
      </w:r>
    </w:p>
    <w:p w14:paraId="7DEFCC78" w14:textId="77777777" w:rsidR="00B57662" w:rsidRPr="00D0761F" w:rsidRDefault="00B57662" w:rsidP="00B57662">
      <w:pPr>
        <w:rPr>
          <w:rFonts w:cs="Arial"/>
          <w:sz w:val="20"/>
          <w:szCs w:val="20"/>
        </w:rPr>
      </w:pPr>
    </w:p>
    <w:p w14:paraId="7DEFCC79" w14:textId="77777777" w:rsidR="00FF5330" w:rsidRPr="00FF5330" w:rsidRDefault="00C72048" w:rsidP="00FF5330">
      <w:pPr>
        <w:rPr>
          <w:b/>
          <w:sz w:val="24"/>
        </w:rPr>
      </w:pPr>
      <w:r w:rsidRPr="00FF5330">
        <w:rPr>
          <w:rFonts w:cs="Arial"/>
          <w:b/>
          <w:sz w:val="24"/>
        </w:rPr>
        <w:t xml:space="preserve">1.4.4.8 Assumptions from </w:t>
      </w:r>
      <w:r w:rsidR="00FF5330" w:rsidRPr="00FF5330">
        <w:rPr>
          <w:b/>
          <w:sz w:val="24"/>
        </w:rPr>
        <w:t>DHW Commissioning and Control System for Lodging Facili</w:t>
      </w:r>
      <w:r w:rsidR="00FF5330">
        <w:rPr>
          <w:b/>
          <w:sz w:val="24"/>
        </w:rPr>
        <w:t xml:space="preserve">ties </w:t>
      </w:r>
      <w:proofErr w:type="spellStart"/>
      <w:r w:rsidR="00FF5330">
        <w:rPr>
          <w:b/>
          <w:sz w:val="24"/>
        </w:rPr>
        <w:t>Workpaper</w:t>
      </w:r>
      <w:proofErr w:type="spellEnd"/>
      <w:r w:rsidR="00FF5330">
        <w:rPr>
          <w:b/>
          <w:sz w:val="24"/>
        </w:rPr>
        <w:t xml:space="preserve"> for PY2007-2008,</w:t>
      </w:r>
      <w:r w:rsidR="00FF5330" w:rsidRPr="00FF5330">
        <w:rPr>
          <w:b/>
          <w:sz w:val="24"/>
        </w:rPr>
        <w:t xml:space="preserve"> prepared by Energy and </w:t>
      </w:r>
      <w:proofErr w:type="spellStart"/>
      <w:r w:rsidR="00FF5330" w:rsidRPr="00FF5330">
        <w:rPr>
          <w:b/>
          <w:sz w:val="24"/>
        </w:rPr>
        <w:t>Environmenal</w:t>
      </w:r>
      <w:proofErr w:type="spellEnd"/>
      <w:r w:rsidR="00FF5330" w:rsidRPr="00FF5330">
        <w:rPr>
          <w:b/>
          <w:sz w:val="24"/>
        </w:rPr>
        <w:t xml:space="preserve"> Analysis, Inc., for Southern Cal</w:t>
      </w:r>
      <w:r w:rsidR="00FF5330">
        <w:rPr>
          <w:b/>
          <w:sz w:val="24"/>
        </w:rPr>
        <w:t>ifornia Gas Company, March 2008</w:t>
      </w:r>
      <w:r w:rsidR="003C2CEC" w:rsidRPr="003C2CEC">
        <w:rPr>
          <w:b/>
          <w:sz w:val="24"/>
          <w:vertAlign w:val="superscript"/>
        </w:rPr>
        <w:fldChar w:fldCharType="begin"/>
      </w:r>
      <w:r w:rsidR="003C2CEC" w:rsidRPr="003C2CEC">
        <w:rPr>
          <w:b/>
          <w:sz w:val="24"/>
          <w:vertAlign w:val="superscript"/>
        </w:rPr>
        <w:instrText xml:space="preserve"> NOTEREF _Ref328413302 \h  \* MERGEFORMAT </w:instrText>
      </w:r>
      <w:r w:rsidR="003C2CEC" w:rsidRPr="003C2CEC">
        <w:rPr>
          <w:b/>
          <w:sz w:val="24"/>
          <w:vertAlign w:val="superscript"/>
        </w:rPr>
      </w:r>
      <w:r w:rsidR="003C2CEC" w:rsidRPr="003C2CEC">
        <w:rPr>
          <w:b/>
          <w:sz w:val="24"/>
          <w:vertAlign w:val="superscript"/>
        </w:rPr>
        <w:fldChar w:fldCharType="separate"/>
      </w:r>
      <w:r w:rsidR="00644DB4">
        <w:rPr>
          <w:b/>
          <w:sz w:val="24"/>
          <w:vertAlign w:val="superscript"/>
        </w:rPr>
        <w:t>4</w:t>
      </w:r>
      <w:r w:rsidR="003C2CEC" w:rsidRPr="003C2CEC">
        <w:rPr>
          <w:b/>
          <w:sz w:val="24"/>
          <w:vertAlign w:val="superscript"/>
        </w:rPr>
        <w:fldChar w:fldCharType="end"/>
      </w:r>
    </w:p>
    <w:p w14:paraId="7DEFCC7A" w14:textId="77777777" w:rsidR="00C72048" w:rsidRPr="00D0761F" w:rsidRDefault="00C72048" w:rsidP="00C72048">
      <w:pPr>
        <w:rPr>
          <w:rFonts w:cs="Arial"/>
          <w:sz w:val="20"/>
          <w:szCs w:val="20"/>
        </w:rPr>
      </w:pPr>
    </w:p>
    <w:p w14:paraId="7DEFCC7B" w14:textId="6343D3E7" w:rsidR="00C72048" w:rsidRPr="00D0761F" w:rsidRDefault="00BA2008" w:rsidP="00C72048">
      <w:pPr>
        <w:pStyle w:val="ListParagraph"/>
        <w:numPr>
          <w:ilvl w:val="0"/>
          <w:numId w:val="29"/>
        </w:numPr>
        <w:rPr>
          <w:rFonts w:cs="Arial"/>
          <w:sz w:val="20"/>
          <w:szCs w:val="20"/>
        </w:rPr>
      </w:pPr>
      <w:r>
        <w:rPr>
          <w:rFonts w:cs="Arial"/>
          <w:sz w:val="20"/>
          <w:szCs w:val="20"/>
        </w:rPr>
        <w:t xml:space="preserve">For </w:t>
      </w:r>
      <w:r w:rsidR="00635B9F">
        <w:rPr>
          <w:rFonts w:cs="Arial"/>
          <w:sz w:val="20"/>
          <w:szCs w:val="20"/>
        </w:rPr>
        <w:t>HA10</w:t>
      </w:r>
      <w:r w:rsidR="00B200B4">
        <w:rPr>
          <w:rFonts w:cs="Arial"/>
          <w:sz w:val="20"/>
          <w:szCs w:val="20"/>
        </w:rPr>
        <w:t xml:space="preserve"> and </w:t>
      </w:r>
      <w:r w:rsidR="00635B9F">
        <w:rPr>
          <w:rFonts w:cs="Arial"/>
          <w:sz w:val="20"/>
          <w:szCs w:val="20"/>
        </w:rPr>
        <w:t>HA13</w:t>
      </w:r>
      <w:r>
        <w:rPr>
          <w:rFonts w:cs="Arial"/>
          <w:sz w:val="20"/>
          <w:szCs w:val="20"/>
        </w:rPr>
        <w:t xml:space="preserve">, the </w:t>
      </w:r>
      <w:r w:rsidR="00FF5330">
        <w:rPr>
          <w:rFonts w:cs="Arial"/>
          <w:sz w:val="20"/>
          <w:szCs w:val="20"/>
        </w:rPr>
        <w:t xml:space="preserve">$28.55 </w:t>
      </w:r>
      <w:r w:rsidRPr="008264BB">
        <w:rPr>
          <w:rFonts w:cs="Arial"/>
          <w:sz w:val="20"/>
          <w:szCs w:val="20"/>
        </w:rPr>
        <w:t xml:space="preserve">measure </w:t>
      </w:r>
      <w:r>
        <w:rPr>
          <w:rFonts w:cs="Arial"/>
          <w:sz w:val="20"/>
          <w:szCs w:val="20"/>
        </w:rPr>
        <w:t>equipment</w:t>
      </w:r>
      <w:r w:rsidRPr="008264BB">
        <w:rPr>
          <w:rFonts w:cs="Arial"/>
          <w:sz w:val="20"/>
          <w:szCs w:val="20"/>
        </w:rPr>
        <w:t xml:space="preserve"> co</w:t>
      </w:r>
      <w:r>
        <w:rPr>
          <w:rFonts w:cs="Arial"/>
          <w:sz w:val="20"/>
          <w:szCs w:val="20"/>
        </w:rPr>
        <w:t xml:space="preserve">st (in $ per measure unit) </w:t>
      </w:r>
      <w:r w:rsidRPr="008264BB">
        <w:rPr>
          <w:rFonts w:cs="Arial"/>
          <w:sz w:val="20"/>
          <w:szCs w:val="20"/>
        </w:rPr>
        <w:t xml:space="preserve">equals the </w:t>
      </w:r>
      <w:r>
        <w:rPr>
          <w:rFonts w:cs="Arial"/>
          <w:sz w:val="20"/>
          <w:szCs w:val="20"/>
        </w:rPr>
        <w:t>gross</w:t>
      </w:r>
      <w:r w:rsidRPr="008264BB">
        <w:rPr>
          <w:rFonts w:cs="Arial"/>
          <w:sz w:val="20"/>
          <w:szCs w:val="20"/>
        </w:rPr>
        <w:t xml:space="preserve"> measure </w:t>
      </w:r>
      <w:r>
        <w:rPr>
          <w:rFonts w:cs="Arial"/>
          <w:sz w:val="20"/>
          <w:szCs w:val="20"/>
        </w:rPr>
        <w:t>cost or</w:t>
      </w:r>
      <w:r w:rsidRPr="008264BB">
        <w:rPr>
          <w:rFonts w:cs="Arial"/>
          <w:sz w:val="20"/>
          <w:szCs w:val="20"/>
        </w:rPr>
        <w:t xml:space="preserve"> measure </w:t>
      </w:r>
      <w:r>
        <w:rPr>
          <w:rFonts w:cs="Arial"/>
          <w:sz w:val="20"/>
          <w:szCs w:val="20"/>
        </w:rPr>
        <w:t xml:space="preserve">incremental </w:t>
      </w:r>
      <w:r w:rsidRPr="008264BB">
        <w:rPr>
          <w:rFonts w:cs="Arial"/>
          <w:sz w:val="20"/>
          <w:szCs w:val="20"/>
        </w:rPr>
        <w:t>cost.</w:t>
      </w:r>
    </w:p>
    <w:p w14:paraId="7DEFCC7D" w14:textId="77777777" w:rsidR="001C2942" w:rsidRPr="00222FC1" w:rsidRDefault="001C2942" w:rsidP="00BF394E">
      <w:pPr>
        <w:pStyle w:val="Heading2"/>
      </w:pPr>
      <w:bookmarkStart w:id="64" w:name="_Toc481419691"/>
      <w:r w:rsidRPr="00222FC1">
        <w:t>1.</w:t>
      </w:r>
      <w:r w:rsidR="00063FA7" w:rsidRPr="00222FC1">
        <w:t>4.5</w:t>
      </w:r>
      <w:r w:rsidR="001178BE" w:rsidRPr="00222FC1">
        <w:t xml:space="preserve"> </w:t>
      </w:r>
      <w:r w:rsidRPr="00222FC1">
        <w:t>Time-of-Use Adjustment Factor</w:t>
      </w:r>
      <w:bookmarkEnd w:id="64"/>
    </w:p>
    <w:p w14:paraId="7DEFCC7E" w14:textId="77777777" w:rsidR="001178BE" w:rsidRPr="003D0F5B" w:rsidRDefault="00BF5625" w:rsidP="00292713">
      <w:pPr>
        <w:pStyle w:val="Reminders"/>
        <w:spacing w:before="0" w:after="0"/>
        <w:rPr>
          <w:rFonts w:ascii="Arial" w:hAnsi="Arial" w:cs="Arial"/>
          <w:i w:val="0"/>
          <w:color w:val="000000" w:themeColor="text1"/>
          <w:sz w:val="20"/>
          <w:szCs w:val="20"/>
        </w:rPr>
      </w:pPr>
      <w:r w:rsidRPr="003D0F5B">
        <w:rPr>
          <w:rFonts w:ascii="Arial" w:hAnsi="Arial" w:cs="Arial"/>
          <w:i w:val="0"/>
          <w:color w:val="000000" w:themeColor="text1"/>
          <w:sz w:val="20"/>
          <w:szCs w:val="20"/>
        </w:rPr>
        <w:t xml:space="preserve">The </w:t>
      </w:r>
      <w:proofErr w:type="spellStart"/>
      <w:r w:rsidR="00010220">
        <w:rPr>
          <w:rFonts w:ascii="Arial" w:hAnsi="Arial" w:cs="Arial"/>
          <w:i w:val="0"/>
          <w:color w:val="000000" w:themeColor="text1"/>
          <w:sz w:val="20"/>
          <w:szCs w:val="20"/>
        </w:rPr>
        <w:t>workpaper</w:t>
      </w:r>
      <w:proofErr w:type="spellEnd"/>
      <w:r w:rsidR="00010220">
        <w:rPr>
          <w:rFonts w:ascii="Arial" w:hAnsi="Arial" w:cs="Arial"/>
          <w:i w:val="0"/>
          <w:color w:val="000000" w:themeColor="text1"/>
          <w:sz w:val="20"/>
          <w:szCs w:val="20"/>
        </w:rPr>
        <w:t xml:space="preserve"> measures do not have a </w:t>
      </w:r>
      <w:r w:rsidRPr="003D0F5B">
        <w:rPr>
          <w:rFonts w:ascii="Arial" w:hAnsi="Arial" w:cs="Arial"/>
          <w:i w:val="0"/>
          <w:color w:val="000000" w:themeColor="text1"/>
          <w:sz w:val="20"/>
          <w:szCs w:val="20"/>
        </w:rPr>
        <w:t>time-of-</w:t>
      </w:r>
      <w:r w:rsidR="00010220">
        <w:rPr>
          <w:rFonts w:ascii="Arial" w:hAnsi="Arial" w:cs="Arial"/>
          <w:i w:val="0"/>
          <w:color w:val="000000" w:themeColor="text1"/>
          <w:sz w:val="20"/>
          <w:szCs w:val="20"/>
        </w:rPr>
        <w:t>use (TOU) adjustment factor</w:t>
      </w:r>
      <w:r w:rsidRPr="003D0F5B">
        <w:rPr>
          <w:rFonts w:ascii="Arial" w:hAnsi="Arial" w:cs="Arial"/>
          <w:i w:val="0"/>
          <w:color w:val="000000" w:themeColor="text1"/>
          <w:sz w:val="20"/>
          <w:szCs w:val="20"/>
        </w:rPr>
        <w:t>.</w:t>
      </w:r>
    </w:p>
    <w:p w14:paraId="7DEFCC7F" w14:textId="77777777" w:rsidR="00C069A2" w:rsidRPr="00292713" w:rsidRDefault="001248A3" w:rsidP="00895469">
      <w:pPr>
        <w:pStyle w:val="Heading2"/>
      </w:pPr>
      <w:bookmarkStart w:id="65" w:name="_Toc304800209"/>
      <w:bookmarkStart w:id="66" w:name="_Toc481419692"/>
      <w:r w:rsidRPr="00292713">
        <w:lastRenderedPageBreak/>
        <w:t>1.</w:t>
      </w:r>
      <w:r w:rsidR="00264B03" w:rsidRPr="00292713">
        <w:t>5</w:t>
      </w:r>
      <w:r w:rsidRPr="00292713">
        <w:t xml:space="preserve"> </w:t>
      </w:r>
      <w:r w:rsidR="00FA595F" w:rsidRPr="00292713">
        <w:t xml:space="preserve">Summary of Inputs for </w:t>
      </w:r>
      <w:r w:rsidR="00F83BDC">
        <w:t xml:space="preserve">Energy </w:t>
      </w:r>
      <w:r w:rsidR="00FA595F" w:rsidRPr="00292713">
        <w:t xml:space="preserve">Savings </w:t>
      </w:r>
      <w:bookmarkEnd w:id="65"/>
      <w:r w:rsidR="00F83BDC">
        <w:t>Estimates</w:t>
      </w:r>
      <w:bookmarkEnd w:id="66"/>
    </w:p>
    <w:p w14:paraId="7DEFCC80" w14:textId="77777777" w:rsidR="00581433" w:rsidRPr="00581433" w:rsidRDefault="00581433" w:rsidP="00581433">
      <w:pPr>
        <w:pStyle w:val="Caption"/>
        <w:keepNext/>
        <w:spacing w:before="120" w:after="120"/>
        <w:rPr>
          <w:sz w:val="24"/>
          <w:szCs w:val="24"/>
        </w:rPr>
      </w:pPr>
      <w:bookmarkStart w:id="67" w:name="_Toc481419708"/>
      <w:proofErr w:type="gramStart"/>
      <w:r w:rsidRPr="00581433">
        <w:rPr>
          <w:sz w:val="24"/>
          <w:szCs w:val="24"/>
        </w:rPr>
        <w:t xml:space="preserve">Table </w:t>
      </w:r>
      <w:r w:rsidRPr="00581433">
        <w:rPr>
          <w:sz w:val="24"/>
          <w:szCs w:val="24"/>
        </w:rPr>
        <w:fldChar w:fldCharType="begin"/>
      </w:r>
      <w:r w:rsidRPr="00581433">
        <w:rPr>
          <w:sz w:val="24"/>
          <w:szCs w:val="24"/>
        </w:rPr>
        <w:instrText xml:space="preserve"> SEQ Table \* ARABIC </w:instrText>
      </w:r>
      <w:r w:rsidRPr="00581433">
        <w:rPr>
          <w:sz w:val="24"/>
          <w:szCs w:val="24"/>
        </w:rPr>
        <w:fldChar w:fldCharType="separate"/>
      </w:r>
      <w:r w:rsidR="00644DB4">
        <w:rPr>
          <w:noProof/>
          <w:sz w:val="24"/>
          <w:szCs w:val="24"/>
        </w:rPr>
        <w:t>2</w:t>
      </w:r>
      <w:r w:rsidRPr="00581433">
        <w:rPr>
          <w:sz w:val="24"/>
          <w:szCs w:val="24"/>
        </w:rPr>
        <w:fldChar w:fldCharType="end"/>
      </w:r>
      <w:r w:rsidR="00EF60F4">
        <w:rPr>
          <w:sz w:val="24"/>
          <w:szCs w:val="24"/>
        </w:rPr>
        <w:t>.</w:t>
      </w:r>
      <w:proofErr w:type="gramEnd"/>
      <w:r w:rsidR="00EF60F4">
        <w:rPr>
          <w:sz w:val="24"/>
          <w:szCs w:val="24"/>
        </w:rPr>
        <w:t xml:space="preserve"> </w:t>
      </w:r>
      <w:r w:rsidRPr="00581433">
        <w:rPr>
          <w:rFonts w:cs="Arial"/>
          <w:sz w:val="24"/>
          <w:szCs w:val="24"/>
        </w:rPr>
        <w:t xml:space="preserve">Summary of Inputs for </w:t>
      </w:r>
      <w:r w:rsidR="00F83BDC">
        <w:rPr>
          <w:rFonts w:cs="Arial"/>
          <w:sz w:val="24"/>
          <w:szCs w:val="24"/>
        </w:rPr>
        <w:t xml:space="preserve">Energy </w:t>
      </w:r>
      <w:r w:rsidRPr="00581433">
        <w:rPr>
          <w:rFonts w:cs="Arial"/>
          <w:sz w:val="24"/>
          <w:szCs w:val="24"/>
        </w:rPr>
        <w:t xml:space="preserve">Savings </w:t>
      </w:r>
      <w:r w:rsidR="00F83BDC">
        <w:rPr>
          <w:rFonts w:cs="Arial"/>
          <w:sz w:val="24"/>
          <w:szCs w:val="24"/>
        </w:rPr>
        <w:t>Estimates</w:t>
      </w:r>
      <w:r w:rsidR="00803C8D">
        <w:rPr>
          <w:rFonts w:cs="Arial"/>
          <w:sz w:val="24"/>
          <w:szCs w:val="24"/>
        </w:rPr>
        <w:t xml:space="preserve"> for</w:t>
      </w:r>
      <w:r w:rsidRPr="00581433">
        <w:rPr>
          <w:rFonts w:cs="Arial"/>
          <w:sz w:val="24"/>
          <w:szCs w:val="24"/>
        </w:rPr>
        <w:t xml:space="preserve"> Multifamily Facilities</w:t>
      </w:r>
      <w:bookmarkEnd w:id="67"/>
    </w:p>
    <w:tbl>
      <w:tblPr>
        <w:tblStyle w:val="PGEWorkPaper"/>
        <w:tblW w:w="3883" w:type="pct"/>
        <w:tblLook w:val="00A0" w:firstRow="1" w:lastRow="0" w:firstColumn="1" w:lastColumn="0" w:noHBand="0" w:noVBand="0"/>
      </w:tblPr>
      <w:tblGrid>
        <w:gridCol w:w="3023"/>
        <w:gridCol w:w="1266"/>
        <w:gridCol w:w="1873"/>
        <w:gridCol w:w="1275"/>
      </w:tblGrid>
      <w:tr w:rsidR="00EB2DE2" w:rsidRPr="00A114C0" w14:paraId="7DEFCC86" w14:textId="77777777" w:rsidTr="00EB2DE2">
        <w:trPr>
          <w:cnfStyle w:val="100000000000" w:firstRow="1" w:lastRow="0" w:firstColumn="0" w:lastColumn="0" w:oddVBand="0" w:evenVBand="0" w:oddHBand="0" w:evenHBand="0" w:firstRowFirstColumn="0" w:firstRowLastColumn="0" w:lastRowFirstColumn="0" w:lastRowLastColumn="0"/>
        </w:trPr>
        <w:tc>
          <w:tcPr>
            <w:tcW w:w="2033" w:type="pct"/>
          </w:tcPr>
          <w:p w14:paraId="7DEFCC81" w14:textId="77777777" w:rsidR="00EB2DE2" w:rsidRPr="00FB21C0" w:rsidRDefault="00EB2DE2" w:rsidP="001E4C31">
            <w:pPr>
              <w:keepNext/>
              <w:rPr>
                <w:rFonts w:cs="Arial"/>
                <w:bCs w:val="0"/>
                <w:sz w:val="20"/>
                <w:szCs w:val="20"/>
              </w:rPr>
            </w:pPr>
            <w:r w:rsidRPr="00FB21C0">
              <w:rPr>
                <w:rFonts w:cs="Arial"/>
                <w:sz w:val="20"/>
                <w:szCs w:val="20"/>
              </w:rPr>
              <w:t>Input Variables for Energy Savings Estimates in Multifamily Facilities</w:t>
            </w:r>
          </w:p>
        </w:tc>
        <w:tc>
          <w:tcPr>
            <w:tcW w:w="851" w:type="pct"/>
          </w:tcPr>
          <w:p w14:paraId="7DEFCC82" w14:textId="77777777" w:rsidR="00EB2DE2" w:rsidRPr="00A114C0" w:rsidRDefault="00EB2DE2" w:rsidP="00AA6879">
            <w:pPr>
              <w:keepNext/>
              <w:rPr>
                <w:rFonts w:cs="Arial"/>
                <w:bCs w:val="0"/>
                <w:sz w:val="20"/>
                <w:szCs w:val="20"/>
              </w:rPr>
            </w:pPr>
            <w:r w:rsidRPr="00A114C0">
              <w:rPr>
                <w:rFonts w:cs="Arial"/>
                <w:bCs w:val="0"/>
                <w:sz w:val="20"/>
                <w:szCs w:val="20"/>
              </w:rPr>
              <w:t>“No Control” Base Case</w:t>
            </w:r>
            <w:r>
              <w:rPr>
                <w:rFonts w:cs="Arial"/>
                <w:bCs w:val="0"/>
                <w:sz w:val="20"/>
                <w:szCs w:val="20"/>
              </w:rPr>
              <w:t xml:space="preserve"> Values</w:t>
            </w:r>
          </w:p>
        </w:tc>
        <w:tc>
          <w:tcPr>
            <w:tcW w:w="1259" w:type="pct"/>
          </w:tcPr>
          <w:p w14:paraId="7DEFCC83" w14:textId="2757B0EE" w:rsidR="00EB2DE2" w:rsidRPr="00A114C0" w:rsidRDefault="00EB2DE2" w:rsidP="00AA6879">
            <w:pPr>
              <w:keepNext/>
              <w:rPr>
                <w:rFonts w:cs="Arial"/>
                <w:bCs w:val="0"/>
                <w:sz w:val="20"/>
                <w:szCs w:val="20"/>
              </w:rPr>
            </w:pPr>
            <w:r>
              <w:rPr>
                <w:rFonts w:cs="Arial"/>
                <w:sz w:val="20"/>
                <w:szCs w:val="20"/>
              </w:rPr>
              <w:t xml:space="preserve">HA10 </w:t>
            </w:r>
            <w:r w:rsidRPr="00A114C0">
              <w:rPr>
                <w:rFonts w:cs="Arial"/>
                <w:bCs w:val="0"/>
                <w:sz w:val="20"/>
                <w:szCs w:val="20"/>
              </w:rPr>
              <w:t>“Temperature Modulation”</w:t>
            </w:r>
            <w:r>
              <w:rPr>
                <w:rFonts w:cs="Arial"/>
                <w:bCs w:val="0"/>
                <w:sz w:val="20"/>
                <w:szCs w:val="20"/>
              </w:rPr>
              <w:t xml:space="preserve"> Boiler Controller Values</w:t>
            </w:r>
          </w:p>
        </w:tc>
        <w:tc>
          <w:tcPr>
            <w:tcW w:w="857" w:type="pct"/>
          </w:tcPr>
          <w:p w14:paraId="7DEFCC85" w14:textId="77777777" w:rsidR="00EB2DE2" w:rsidRPr="00A114C0" w:rsidRDefault="00EB2DE2" w:rsidP="00AA6879">
            <w:pPr>
              <w:keepNext/>
              <w:rPr>
                <w:rFonts w:cs="Arial"/>
                <w:bCs w:val="0"/>
                <w:sz w:val="20"/>
                <w:szCs w:val="20"/>
              </w:rPr>
            </w:pPr>
            <w:r w:rsidRPr="00A114C0">
              <w:rPr>
                <w:rFonts w:cs="Arial"/>
                <w:sz w:val="20"/>
                <w:szCs w:val="20"/>
              </w:rPr>
              <w:t>Reference Section</w:t>
            </w:r>
            <w:r>
              <w:rPr>
                <w:rFonts w:cs="Arial"/>
                <w:sz w:val="20"/>
                <w:szCs w:val="20"/>
              </w:rPr>
              <w:t>s</w:t>
            </w:r>
          </w:p>
        </w:tc>
      </w:tr>
      <w:tr w:rsidR="00EB2DE2" w:rsidRPr="00A114C0" w14:paraId="7DEFCC8C" w14:textId="77777777" w:rsidTr="00EB2DE2">
        <w:trPr>
          <w:cnfStyle w:val="000000100000" w:firstRow="0" w:lastRow="0" w:firstColumn="0" w:lastColumn="0" w:oddVBand="0" w:evenVBand="0" w:oddHBand="1" w:evenHBand="0" w:firstRowFirstColumn="0" w:firstRowLastColumn="0" w:lastRowFirstColumn="0" w:lastRowLastColumn="0"/>
        </w:trPr>
        <w:tc>
          <w:tcPr>
            <w:tcW w:w="2033" w:type="pct"/>
          </w:tcPr>
          <w:p w14:paraId="7DEFCC87" w14:textId="77777777" w:rsidR="00EB2DE2" w:rsidRPr="00AA2158" w:rsidRDefault="00EB2DE2" w:rsidP="00045885">
            <w:pPr>
              <w:keepNext/>
              <w:jc w:val="left"/>
              <w:rPr>
                <w:rFonts w:cs="Arial"/>
                <w:b/>
                <w:sz w:val="20"/>
                <w:szCs w:val="20"/>
              </w:rPr>
            </w:pPr>
            <w:r w:rsidRPr="00AA2158">
              <w:rPr>
                <w:rFonts w:cs="Arial"/>
                <w:b/>
                <w:color w:val="000000"/>
                <w:sz w:val="20"/>
                <w:szCs w:val="20"/>
              </w:rPr>
              <w:t>Avg. t</w:t>
            </w:r>
            <w:r w:rsidRPr="00AA2158">
              <w:rPr>
                <w:rFonts w:cs="Arial"/>
                <w:b/>
                <w:sz w:val="20"/>
                <w:szCs w:val="20"/>
              </w:rPr>
              <w:t>hermal efficiency for the gas hot water supply boiler or large gas storage water heater in the central water heating system</w:t>
            </w:r>
          </w:p>
        </w:tc>
        <w:tc>
          <w:tcPr>
            <w:tcW w:w="851" w:type="pct"/>
          </w:tcPr>
          <w:p w14:paraId="7DEFCC88" w14:textId="77777777" w:rsidR="00EB2DE2" w:rsidRPr="009F07F6" w:rsidRDefault="00EB2DE2" w:rsidP="00AA6879">
            <w:pPr>
              <w:keepNext/>
              <w:rPr>
                <w:rFonts w:cs="Arial"/>
                <w:sz w:val="20"/>
                <w:szCs w:val="20"/>
              </w:rPr>
            </w:pPr>
            <w:r w:rsidRPr="009F07F6">
              <w:rPr>
                <w:rFonts w:cs="Arial"/>
                <w:color w:val="000000"/>
                <w:sz w:val="20"/>
                <w:szCs w:val="20"/>
              </w:rPr>
              <w:t>80% thermal efficiency</w:t>
            </w:r>
          </w:p>
        </w:tc>
        <w:tc>
          <w:tcPr>
            <w:tcW w:w="1259" w:type="pct"/>
          </w:tcPr>
          <w:p w14:paraId="7DEFCC89" w14:textId="77777777" w:rsidR="00EB2DE2" w:rsidRPr="009F07F6" w:rsidRDefault="00EB2DE2" w:rsidP="00AA6879">
            <w:pPr>
              <w:keepNext/>
              <w:rPr>
                <w:rFonts w:cs="Arial"/>
                <w:sz w:val="20"/>
                <w:szCs w:val="20"/>
              </w:rPr>
            </w:pPr>
            <w:r w:rsidRPr="009F07F6">
              <w:rPr>
                <w:rFonts w:cs="Arial"/>
                <w:color w:val="000000"/>
                <w:sz w:val="20"/>
                <w:szCs w:val="20"/>
              </w:rPr>
              <w:t>80% thermal efficiency</w:t>
            </w:r>
          </w:p>
        </w:tc>
        <w:tc>
          <w:tcPr>
            <w:tcW w:w="857" w:type="pct"/>
          </w:tcPr>
          <w:p w14:paraId="7DEFCC8B"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.1</w:t>
            </w:r>
          </w:p>
        </w:tc>
      </w:tr>
      <w:tr w:rsidR="00EB2DE2" w:rsidRPr="00A114C0" w14:paraId="7DEFCC92" w14:textId="77777777" w:rsidTr="00EB2DE2">
        <w:trPr>
          <w:cnfStyle w:val="000000010000" w:firstRow="0" w:lastRow="0" w:firstColumn="0" w:lastColumn="0" w:oddVBand="0" w:evenVBand="0" w:oddHBand="0" w:evenHBand="1" w:firstRowFirstColumn="0" w:firstRowLastColumn="0" w:lastRowFirstColumn="0" w:lastRowLastColumn="0"/>
        </w:trPr>
        <w:tc>
          <w:tcPr>
            <w:tcW w:w="2033" w:type="pct"/>
          </w:tcPr>
          <w:p w14:paraId="7DEFCC8D" w14:textId="77777777" w:rsidR="00EB2DE2" w:rsidRPr="00AA2158" w:rsidRDefault="00EB2DE2" w:rsidP="008C7D72">
            <w:pPr>
              <w:keepNext/>
              <w:jc w:val="left"/>
              <w:rPr>
                <w:rFonts w:cs="Arial"/>
                <w:b/>
                <w:sz w:val="20"/>
                <w:szCs w:val="20"/>
              </w:rPr>
            </w:pPr>
            <w:r w:rsidRPr="00AA2158">
              <w:rPr>
                <w:rFonts w:cs="Arial"/>
                <w:b/>
                <w:sz w:val="20"/>
                <w:szCs w:val="20"/>
              </w:rPr>
              <w:t xml:space="preserve">Avg. </w:t>
            </w:r>
            <w:proofErr w:type="spellStart"/>
            <w:r w:rsidRPr="00AA2158">
              <w:rPr>
                <w:rFonts w:cs="Arial"/>
                <w:b/>
                <w:sz w:val="20"/>
                <w:szCs w:val="20"/>
              </w:rPr>
              <w:t>therms</w:t>
            </w:r>
            <w:proofErr w:type="spellEnd"/>
            <w:r w:rsidRPr="00AA2158">
              <w:rPr>
                <w:rFonts w:cs="Arial"/>
                <w:b/>
                <w:sz w:val="20"/>
                <w:szCs w:val="20"/>
              </w:rPr>
              <w:t>/multifamily dwelling unit/</w:t>
            </w:r>
            <w:proofErr w:type="spellStart"/>
            <w:r w:rsidRPr="00AA2158">
              <w:rPr>
                <w:rFonts w:cs="Arial"/>
                <w:b/>
                <w:sz w:val="20"/>
                <w:szCs w:val="20"/>
              </w:rPr>
              <w:t>yr</w:t>
            </w:r>
            <w:proofErr w:type="spellEnd"/>
            <w:r w:rsidRPr="00AA2158">
              <w:rPr>
                <w:rFonts w:cs="Arial"/>
                <w:b/>
                <w:sz w:val="20"/>
                <w:szCs w:val="20"/>
              </w:rPr>
              <w:t xml:space="preserve"> Unit Energy Consumption (UEC) for the “no control” base case</w:t>
            </w:r>
          </w:p>
        </w:tc>
        <w:tc>
          <w:tcPr>
            <w:tcW w:w="851" w:type="pct"/>
          </w:tcPr>
          <w:p w14:paraId="7DEFCC8E" w14:textId="77777777" w:rsidR="00EB2DE2" w:rsidRPr="009F07F6" w:rsidRDefault="00EB2DE2" w:rsidP="00AA6879">
            <w:pPr>
              <w:keepNext/>
              <w:rPr>
                <w:rFonts w:cs="Arial"/>
                <w:sz w:val="20"/>
                <w:szCs w:val="20"/>
              </w:rPr>
            </w:pPr>
            <w:r w:rsidRPr="009F07F6">
              <w:rPr>
                <w:rFonts w:cs="Arial"/>
                <w:color w:val="000000"/>
                <w:sz w:val="20"/>
                <w:szCs w:val="20"/>
              </w:rPr>
              <w:t xml:space="preserve">186 </w:t>
            </w:r>
            <w:proofErr w:type="spellStart"/>
            <w:r w:rsidRPr="009F07F6">
              <w:rPr>
                <w:rFonts w:cs="Arial"/>
                <w:color w:val="000000"/>
                <w:sz w:val="20"/>
                <w:szCs w:val="20"/>
              </w:rPr>
              <w:t>therms</w:t>
            </w:r>
            <w:proofErr w:type="spellEnd"/>
          </w:p>
        </w:tc>
        <w:tc>
          <w:tcPr>
            <w:tcW w:w="1259" w:type="pct"/>
          </w:tcPr>
          <w:p w14:paraId="7DEFCC8F" w14:textId="77777777" w:rsidR="00EB2DE2" w:rsidRPr="009F07F6" w:rsidRDefault="00EB2DE2" w:rsidP="00AA6879">
            <w:pPr>
              <w:keepNext/>
              <w:rPr>
                <w:rFonts w:cs="Arial"/>
                <w:sz w:val="20"/>
                <w:szCs w:val="20"/>
              </w:rPr>
            </w:pPr>
            <w:r w:rsidRPr="009F07F6">
              <w:rPr>
                <w:rFonts w:cs="Arial"/>
                <w:sz w:val="20"/>
                <w:szCs w:val="20"/>
              </w:rPr>
              <w:t>N/A</w:t>
            </w:r>
          </w:p>
        </w:tc>
        <w:tc>
          <w:tcPr>
            <w:tcW w:w="857" w:type="pct"/>
          </w:tcPr>
          <w:p w14:paraId="7DEFCC91"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.2</w:t>
            </w:r>
          </w:p>
        </w:tc>
      </w:tr>
      <w:tr w:rsidR="00EB2DE2" w:rsidRPr="00A114C0" w14:paraId="7DEFCC98" w14:textId="77777777" w:rsidTr="00EB2DE2">
        <w:trPr>
          <w:cnfStyle w:val="000000100000" w:firstRow="0" w:lastRow="0" w:firstColumn="0" w:lastColumn="0" w:oddVBand="0" w:evenVBand="0" w:oddHBand="1" w:evenHBand="0" w:firstRowFirstColumn="0" w:firstRowLastColumn="0" w:lastRowFirstColumn="0" w:lastRowLastColumn="0"/>
        </w:trPr>
        <w:tc>
          <w:tcPr>
            <w:tcW w:w="2033" w:type="pct"/>
          </w:tcPr>
          <w:p w14:paraId="7DEFCC93" w14:textId="77777777" w:rsidR="00EB2DE2" w:rsidRPr="00AA2158" w:rsidRDefault="00EB2DE2" w:rsidP="008C7D72">
            <w:pPr>
              <w:keepNext/>
              <w:jc w:val="left"/>
              <w:rPr>
                <w:rFonts w:cs="Arial"/>
                <w:b/>
                <w:sz w:val="20"/>
                <w:szCs w:val="20"/>
              </w:rPr>
            </w:pPr>
            <w:r w:rsidRPr="00AA2158">
              <w:rPr>
                <w:rFonts w:cs="Arial"/>
                <w:b/>
                <w:color w:val="000000"/>
                <w:sz w:val="20"/>
                <w:szCs w:val="20"/>
              </w:rPr>
              <w:t>Avg. water heating gas consumption for supply &amp; return water piping heat losses</w:t>
            </w:r>
          </w:p>
        </w:tc>
        <w:tc>
          <w:tcPr>
            <w:tcW w:w="851" w:type="pct"/>
          </w:tcPr>
          <w:p w14:paraId="7DEFCC94" w14:textId="77777777" w:rsidR="00EB2DE2" w:rsidRPr="009F07F6" w:rsidRDefault="00EB2DE2" w:rsidP="00AA6879">
            <w:pPr>
              <w:keepNext/>
              <w:rPr>
                <w:rFonts w:cs="Arial"/>
                <w:sz w:val="20"/>
                <w:szCs w:val="20"/>
              </w:rPr>
            </w:pPr>
            <w:r w:rsidRPr="009F07F6">
              <w:rPr>
                <w:rFonts w:cs="Arial"/>
                <w:color w:val="000000"/>
                <w:sz w:val="20"/>
                <w:szCs w:val="20"/>
              </w:rPr>
              <w:t>30%</w:t>
            </w:r>
          </w:p>
        </w:tc>
        <w:tc>
          <w:tcPr>
            <w:tcW w:w="1259" w:type="pct"/>
          </w:tcPr>
          <w:p w14:paraId="7DEFCC95" w14:textId="77777777" w:rsidR="00EB2DE2" w:rsidRPr="009F07F6" w:rsidRDefault="00EB2DE2" w:rsidP="00AA6879">
            <w:pPr>
              <w:keepNext/>
              <w:rPr>
                <w:rFonts w:cs="Arial"/>
                <w:sz w:val="20"/>
                <w:szCs w:val="20"/>
              </w:rPr>
            </w:pPr>
            <w:r w:rsidRPr="009F07F6">
              <w:rPr>
                <w:rFonts w:cs="Arial"/>
                <w:color w:val="000000"/>
                <w:sz w:val="20"/>
                <w:szCs w:val="20"/>
              </w:rPr>
              <w:t>30%</w:t>
            </w:r>
          </w:p>
        </w:tc>
        <w:tc>
          <w:tcPr>
            <w:tcW w:w="857" w:type="pct"/>
          </w:tcPr>
          <w:p w14:paraId="7DEFCC97"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.5</w:t>
            </w:r>
          </w:p>
        </w:tc>
      </w:tr>
      <w:tr w:rsidR="00EB2DE2" w:rsidRPr="00A114C0" w14:paraId="7DEFCC9E" w14:textId="77777777" w:rsidTr="00EB2DE2">
        <w:trPr>
          <w:cnfStyle w:val="000000010000" w:firstRow="0" w:lastRow="0" w:firstColumn="0" w:lastColumn="0" w:oddVBand="0" w:evenVBand="0" w:oddHBand="0" w:evenHBand="1" w:firstRowFirstColumn="0" w:firstRowLastColumn="0" w:lastRowFirstColumn="0" w:lastRowLastColumn="0"/>
        </w:trPr>
        <w:tc>
          <w:tcPr>
            <w:tcW w:w="2033" w:type="pct"/>
          </w:tcPr>
          <w:p w14:paraId="7DEFCC99" w14:textId="77777777" w:rsidR="00EB2DE2" w:rsidRPr="00AA2158" w:rsidRDefault="00EB2DE2" w:rsidP="00F83BDC">
            <w:pPr>
              <w:keepNext/>
              <w:jc w:val="left"/>
              <w:rPr>
                <w:rFonts w:cs="Arial"/>
                <w:b/>
                <w:sz w:val="20"/>
                <w:szCs w:val="20"/>
              </w:rPr>
            </w:pPr>
            <w:r w:rsidRPr="00AA2158">
              <w:rPr>
                <w:rFonts w:cs="Arial"/>
                <w:b/>
                <w:color w:val="000000"/>
                <w:sz w:val="20"/>
                <w:szCs w:val="20"/>
              </w:rPr>
              <w:t>Avg. supply water temperature</w:t>
            </w:r>
          </w:p>
        </w:tc>
        <w:tc>
          <w:tcPr>
            <w:tcW w:w="851" w:type="pct"/>
          </w:tcPr>
          <w:p w14:paraId="7DEFCC9A" w14:textId="77777777" w:rsidR="00EB2DE2" w:rsidRPr="009F07F6" w:rsidRDefault="00EB2DE2" w:rsidP="00AA6879">
            <w:pPr>
              <w:keepNext/>
              <w:rPr>
                <w:rFonts w:cs="Arial"/>
                <w:sz w:val="20"/>
                <w:szCs w:val="20"/>
              </w:rPr>
            </w:pPr>
            <w:r w:rsidRPr="009F07F6">
              <w:rPr>
                <w:rFonts w:cs="Arial"/>
                <w:color w:val="000000"/>
                <w:sz w:val="20"/>
                <w:szCs w:val="20"/>
              </w:rPr>
              <w:t>135 deg. F</w:t>
            </w:r>
          </w:p>
        </w:tc>
        <w:tc>
          <w:tcPr>
            <w:tcW w:w="1259" w:type="pct"/>
          </w:tcPr>
          <w:p w14:paraId="7DEFCC9B" w14:textId="77777777" w:rsidR="00EB2DE2" w:rsidRPr="009F07F6" w:rsidRDefault="00EB2DE2" w:rsidP="00AA6879">
            <w:pPr>
              <w:keepNext/>
              <w:rPr>
                <w:rFonts w:cs="Arial"/>
                <w:sz w:val="20"/>
                <w:szCs w:val="20"/>
              </w:rPr>
            </w:pPr>
            <w:r w:rsidRPr="009F07F6">
              <w:rPr>
                <w:rFonts w:cs="Arial"/>
                <w:color w:val="000000"/>
                <w:sz w:val="20"/>
                <w:szCs w:val="20"/>
              </w:rPr>
              <w:t>132.5 deg. F</w:t>
            </w:r>
          </w:p>
        </w:tc>
        <w:tc>
          <w:tcPr>
            <w:tcW w:w="857" w:type="pct"/>
          </w:tcPr>
          <w:p w14:paraId="7DEFCC9D" w14:textId="77777777" w:rsidR="00EB2DE2" w:rsidRPr="009F07F6" w:rsidRDefault="00EB2DE2" w:rsidP="00AA6879">
            <w:pPr>
              <w:keepNext/>
              <w:rPr>
                <w:rFonts w:cs="Arial"/>
                <w:color w:val="000000"/>
                <w:sz w:val="20"/>
                <w:szCs w:val="20"/>
              </w:rPr>
            </w:pPr>
            <w:r w:rsidRPr="009F07F6">
              <w:rPr>
                <w:rFonts w:cs="Arial"/>
                <w:color w:val="000000"/>
                <w:sz w:val="20"/>
                <w:szCs w:val="20"/>
              </w:rPr>
              <w:t>Section 1.4.4</w:t>
            </w:r>
            <w:r>
              <w:rPr>
                <w:rFonts w:cs="Arial"/>
                <w:color w:val="000000"/>
                <w:sz w:val="20"/>
                <w:szCs w:val="20"/>
              </w:rPr>
              <w:t>.6</w:t>
            </w:r>
          </w:p>
        </w:tc>
      </w:tr>
      <w:tr w:rsidR="00EB2DE2" w:rsidRPr="00A114C0" w14:paraId="7DEFCCA4" w14:textId="77777777" w:rsidTr="00EB2DE2">
        <w:trPr>
          <w:cnfStyle w:val="000000100000" w:firstRow="0" w:lastRow="0" w:firstColumn="0" w:lastColumn="0" w:oddVBand="0" w:evenVBand="0" w:oddHBand="1" w:evenHBand="0" w:firstRowFirstColumn="0" w:firstRowLastColumn="0" w:lastRowFirstColumn="0" w:lastRowLastColumn="0"/>
        </w:trPr>
        <w:tc>
          <w:tcPr>
            <w:tcW w:w="2033" w:type="pct"/>
          </w:tcPr>
          <w:p w14:paraId="7DEFCC9F" w14:textId="77777777" w:rsidR="00EB2DE2" w:rsidRPr="00AA2158" w:rsidRDefault="00EB2DE2" w:rsidP="00B51924">
            <w:pPr>
              <w:keepNext/>
              <w:jc w:val="left"/>
              <w:rPr>
                <w:rFonts w:cs="Arial"/>
                <w:b/>
                <w:sz w:val="20"/>
                <w:szCs w:val="20"/>
              </w:rPr>
            </w:pPr>
            <w:r w:rsidRPr="00AA2158">
              <w:rPr>
                <w:rFonts w:cs="Arial"/>
                <w:b/>
                <w:color w:val="000000"/>
                <w:sz w:val="20"/>
                <w:szCs w:val="20"/>
              </w:rPr>
              <w:t xml:space="preserve">Avg. </w:t>
            </w:r>
            <w:r w:rsidRPr="00AA2158">
              <w:rPr>
                <w:rFonts w:cs="Arial"/>
                <w:b/>
                <w:sz w:val="20"/>
                <w:szCs w:val="20"/>
              </w:rPr>
              <w:t>lower supply &amp; return water piping temperature than supply water temperature</w:t>
            </w:r>
          </w:p>
        </w:tc>
        <w:tc>
          <w:tcPr>
            <w:tcW w:w="851" w:type="pct"/>
          </w:tcPr>
          <w:p w14:paraId="7DEFCCA0" w14:textId="77777777" w:rsidR="00EB2DE2" w:rsidRPr="009F07F6" w:rsidRDefault="00EB2DE2" w:rsidP="00AA6879">
            <w:pPr>
              <w:keepNext/>
              <w:rPr>
                <w:rFonts w:cs="Arial"/>
                <w:sz w:val="20"/>
                <w:szCs w:val="20"/>
              </w:rPr>
            </w:pPr>
            <w:r w:rsidRPr="009F07F6">
              <w:rPr>
                <w:rFonts w:cs="Arial"/>
                <w:color w:val="000000"/>
                <w:sz w:val="20"/>
                <w:szCs w:val="20"/>
              </w:rPr>
              <w:t>5 deg. F</w:t>
            </w:r>
          </w:p>
        </w:tc>
        <w:tc>
          <w:tcPr>
            <w:tcW w:w="1259" w:type="pct"/>
          </w:tcPr>
          <w:p w14:paraId="7DEFCCA1" w14:textId="77777777" w:rsidR="00EB2DE2" w:rsidRPr="009F07F6" w:rsidRDefault="00EB2DE2" w:rsidP="00AA6879">
            <w:pPr>
              <w:keepNext/>
              <w:rPr>
                <w:rFonts w:cs="Arial"/>
                <w:sz w:val="20"/>
                <w:szCs w:val="20"/>
              </w:rPr>
            </w:pPr>
            <w:r w:rsidRPr="009F07F6">
              <w:rPr>
                <w:rFonts w:cs="Arial"/>
                <w:sz w:val="20"/>
                <w:szCs w:val="20"/>
              </w:rPr>
              <w:t>5 deg. F</w:t>
            </w:r>
          </w:p>
        </w:tc>
        <w:tc>
          <w:tcPr>
            <w:tcW w:w="857" w:type="pct"/>
          </w:tcPr>
          <w:p w14:paraId="7DEFCCA3"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.7</w:t>
            </w:r>
          </w:p>
        </w:tc>
      </w:tr>
      <w:tr w:rsidR="00EB2DE2" w:rsidRPr="00A114C0" w14:paraId="7DEFCCAA" w14:textId="77777777" w:rsidTr="00EB2DE2">
        <w:trPr>
          <w:cnfStyle w:val="000000010000" w:firstRow="0" w:lastRow="0" w:firstColumn="0" w:lastColumn="0" w:oddVBand="0" w:evenVBand="0" w:oddHBand="0" w:evenHBand="1" w:firstRowFirstColumn="0" w:firstRowLastColumn="0" w:lastRowFirstColumn="0" w:lastRowLastColumn="0"/>
        </w:trPr>
        <w:tc>
          <w:tcPr>
            <w:tcW w:w="2033" w:type="pct"/>
          </w:tcPr>
          <w:p w14:paraId="7DEFCCA5" w14:textId="77777777" w:rsidR="00EB2DE2" w:rsidRPr="00AA2158" w:rsidRDefault="00EB2DE2" w:rsidP="00B34414">
            <w:pPr>
              <w:keepNext/>
              <w:jc w:val="left"/>
              <w:rPr>
                <w:rFonts w:cs="Arial"/>
                <w:b/>
                <w:sz w:val="20"/>
                <w:szCs w:val="20"/>
              </w:rPr>
            </w:pPr>
            <w:r w:rsidRPr="00AA2158">
              <w:rPr>
                <w:rFonts w:cs="Arial"/>
                <w:b/>
                <w:color w:val="000000"/>
                <w:sz w:val="20"/>
                <w:szCs w:val="20"/>
              </w:rPr>
              <w:t>Avg. supply &amp; return water piping surroundings temperature</w:t>
            </w:r>
          </w:p>
        </w:tc>
        <w:tc>
          <w:tcPr>
            <w:tcW w:w="851" w:type="pct"/>
          </w:tcPr>
          <w:p w14:paraId="7DEFCCA6" w14:textId="77777777" w:rsidR="00EB2DE2" w:rsidRPr="009F07F6" w:rsidRDefault="00EB2DE2" w:rsidP="00AA6879">
            <w:pPr>
              <w:keepNext/>
              <w:rPr>
                <w:rFonts w:cs="Arial"/>
                <w:sz w:val="20"/>
                <w:szCs w:val="20"/>
              </w:rPr>
            </w:pPr>
            <w:r w:rsidRPr="009F07F6">
              <w:rPr>
                <w:rFonts w:cs="Arial"/>
                <w:color w:val="000000"/>
                <w:sz w:val="20"/>
                <w:szCs w:val="20"/>
              </w:rPr>
              <w:t>60 deg. F</w:t>
            </w:r>
          </w:p>
        </w:tc>
        <w:tc>
          <w:tcPr>
            <w:tcW w:w="1259" w:type="pct"/>
          </w:tcPr>
          <w:p w14:paraId="7DEFCCA7" w14:textId="77777777" w:rsidR="00EB2DE2" w:rsidRPr="009F07F6" w:rsidRDefault="00EB2DE2" w:rsidP="00AA6879">
            <w:pPr>
              <w:keepNext/>
              <w:rPr>
                <w:rFonts w:cs="Arial"/>
                <w:sz w:val="20"/>
                <w:szCs w:val="20"/>
              </w:rPr>
            </w:pPr>
            <w:r w:rsidRPr="009F07F6">
              <w:rPr>
                <w:rFonts w:cs="Arial"/>
                <w:sz w:val="20"/>
                <w:szCs w:val="20"/>
              </w:rPr>
              <w:t>60 deg. F</w:t>
            </w:r>
          </w:p>
        </w:tc>
        <w:tc>
          <w:tcPr>
            <w:tcW w:w="857" w:type="pct"/>
          </w:tcPr>
          <w:p w14:paraId="7DEFCCA9"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.7</w:t>
            </w:r>
          </w:p>
        </w:tc>
      </w:tr>
    </w:tbl>
    <w:p w14:paraId="7DEFCCAB" w14:textId="77777777" w:rsidR="00045885" w:rsidRDefault="001A3026" w:rsidP="00576E4B">
      <w:pPr>
        <w:pStyle w:val="Heading1"/>
        <w:rPr>
          <w:sz w:val="20"/>
          <w:szCs w:val="20"/>
        </w:rPr>
      </w:pPr>
      <w:r>
        <w:rPr>
          <w:sz w:val="20"/>
          <w:szCs w:val="20"/>
        </w:rPr>
        <w:br w:type="page"/>
      </w:r>
      <w:bookmarkStart w:id="68" w:name="_Toc304800210"/>
      <w:bookmarkStart w:id="69" w:name="_Toc324340489"/>
    </w:p>
    <w:p w14:paraId="7DEFCCAC" w14:textId="77777777" w:rsidR="00404BAF" w:rsidRPr="0097121B" w:rsidRDefault="0097121B" w:rsidP="0097121B">
      <w:pPr>
        <w:pStyle w:val="Caption"/>
        <w:keepNext/>
        <w:spacing w:before="120" w:after="120"/>
        <w:rPr>
          <w:sz w:val="24"/>
          <w:szCs w:val="24"/>
        </w:rPr>
      </w:pPr>
      <w:bookmarkStart w:id="70" w:name="_Toc481419709"/>
      <w:proofErr w:type="gramStart"/>
      <w:r w:rsidRPr="0097121B">
        <w:rPr>
          <w:sz w:val="24"/>
          <w:szCs w:val="24"/>
        </w:rPr>
        <w:lastRenderedPageBreak/>
        <w:t xml:space="preserve">Table </w:t>
      </w:r>
      <w:r w:rsidRPr="0097121B">
        <w:rPr>
          <w:sz w:val="24"/>
          <w:szCs w:val="24"/>
        </w:rPr>
        <w:fldChar w:fldCharType="begin"/>
      </w:r>
      <w:r w:rsidRPr="0097121B">
        <w:rPr>
          <w:sz w:val="24"/>
          <w:szCs w:val="24"/>
        </w:rPr>
        <w:instrText xml:space="preserve"> SEQ Table \* ARABIC </w:instrText>
      </w:r>
      <w:r w:rsidRPr="0097121B">
        <w:rPr>
          <w:sz w:val="24"/>
          <w:szCs w:val="24"/>
        </w:rPr>
        <w:fldChar w:fldCharType="separate"/>
      </w:r>
      <w:r w:rsidR="00644DB4">
        <w:rPr>
          <w:noProof/>
          <w:sz w:val="24"/>
          <w:szCs w:val="24"/>
        </w:rPr>
        <w:t>3</w:t>
      </w:r>
      <w:r w:rsidRPr="0097121B">
        <w:rPr>
          <w:sz w:val="24"/>
          <w:szCs w:val="24"/>
        </w:rPr>
        <w:fldChar w:fldCharType="end"/>
      </w:r>
      <w:r w:rsidR="00EF60F4">
        <w:rPr>
          <w:sz w:val="24"/>
          <w:szCs w:val="24"/>
        </w:rPr>
        <w:t>.</w:t>
      </w:r>
      <w:proofErr w:type="gramEnd"/>
      <w:r w:rsidR="00EF60F4">
        <w:rPr>
          <w:sz w:val="24"/>
          <w:szCs w:val="24"/>
        </w:rPr>
        <w:t xml:space="preserve"> </w:t>
      </w:r>
      <w:r w:rsidRPr="0097121B">
        <w:rPr>
          <w:rFonts w:cs="Arial"/>
          <w:sz w:val="24"/>
          <w:szCs w:val="24"/>
        </w:rPr>
        <w:t xml:space="preserve">Summary of Inputs for </w:t>
      </w:r>
      <w:r w:rsidR="00CE00AD">
        <w:rPr>
          <w:rFonts w:cs="Arial"/>
          <w:sz w:val="24"/>
          <w:szCs w:val="24"/>
        </w:rPr>
        <w:t xml:space="preserve">Energy </w:t>
      </w:r>
      <w:r w:rsidRPr="0097121B">
        <w:rPr>
          <w:rFonts w:cs="Arial"/>
          <w:sz w:val="24"/>
          <w:szCs w:val="24"/>
        </w:rPr>
        <w:t xml:space="preserve">Savings </w:t>
      </w:r>
      <w:r w:rsidR="00CE00AD">
        <w:rPr>
          <w:rFonts w:cs="Arial"/>
          <w:sz w:val="24"/>
          <w:szCs w:val="24"/>
        </w:rPr>
        <w:t>Estimates</w:t>
      </w:r>
      <w:r w:rsidR="00803C8D">
        <w:rPr>
          <w:rFonts w:cs="Arial"/>
          <w:sz w:val="24"/>
          <w:szCs w:val="24"/>
        </w:rPr>
        <w:t xml:space="preserve"> for</w:t>
      </w:r>
      <w:r w:rsidRPr="0097121B">
        <w:rPr>
          <w:rFonts w:cs="Arial"/>
          <w:sz w:val="24"/>
          <w:szCs w:val="24"/>
        </w:rPr>
        <w:t xml:space="preserve"> Lodging Facilities</w:t>
      </w:r>
      <w:bookmarkEnd w:id="70"/>
    </w:p>
    <w:tbl>
      <w:tblPr>
        <w:tblStyle w:val="PGEWorkPaper"/>
        <w:tblW w:w="3842" w:type="pct"/>
        <w:tblLook w:val="00A0" w:firstRow="1" w:lastRow="0" w:firstColumn="1" w:lastColumn="0" w:noHBand="0" w:noVBand="0"/>
      </w:tblPr>
      <w:tblGrid>
        <w:gridCol w:w="2864"/>
        <w:gridCol w:w="1295"/>
        <w:gridCol w:w="1917"/>
        <w:gridCol w:w="1282"/>
      </w:tblGrid>
      <w:tr w:rsidR="00EB2DE2" w:rsidRPr="00A114C0" w14:paraId="7DEFCCB2" w14:textId="77777777" w:rsidTr="00EB2DE2">
        <w:trPr>
          <w:cnfStyle w:val="100000000000" w:firstRow="1" w:lastRow="0" w:firstColumn="0" w:lastColumn="0" w:oddVBand="0" w:evenVBand="0" w:oddHBand="0" w:evenHBand="0" w:firstRowFirstColumn="0" w:firstRowLastColumn="0" w:lastRowFirstColumn="0" w:lastRowLastColumn="0"/>
        </w:trPr>
        <w:tc>
          <w:tcPr>
            <w:tcW w:w="1946" w:type="pct"/>
          </w:tcPr>
          <w:p w14:paraId="7DEFCCAD" w14:textId="77777777" w:rsidR="00EB2DE2" w:rsidRPr="00FB21C0" w:rsidRDefault="00EB2DE2" w:rsidP="00404BAF">
            <w:pPr>
              <w:keepNext/>
              <w:rPr>
                <w:rFonts w:cs="Arial"/>
                <w:bCs w:val="0"/>
                <w:sz w:val="20"/>
                <w:szCs w:val="20"/>
              </w:rPr>
            </w:pPr>
            <w:r w:rsidRPr="00FB21C0">
              <w:rPr>
                <w:rFonts w:cs="Arial"/>
                <w:sz w:val="20"/>
                <w:szCs w:val="20"/>
              </w:rPr>
              <w:t xml:space="preserve">Input Variables for Energy Savings Estimates in </w:t>
            </w:r>
            <w:r>
              <w:rPr>
                <w:rFonts w:cs="Arial"/>
                <w:sz w:val="20"/>
                <w:szCs w:val="20"/>
              </w:rPr>
              <w:t>Lodging</w:t>
            </w:r>
            <w:r w:rsidRPr="00FB21C0">
              <w:rPr>
                <w:rFonts w:cs="Arial"/>
                <w:sz w:val="20"/>
                <w:szCs w:val="20"/>
              </w:rPr>
              <w:t xml:space="preserve"> Facilities</w:t>
            </w:r>
          </w:p>
        </w:tc>
        <w:tc>
          <w:tcPr>
            <w:tcW w:w="880" w:type="pct"/>
          </w:tcPr>
          <w:p w14:paraId="7DEFCCAE" w14:textId="77777777" w:rsidR="00EB2DE2" w:rsidRPr="00A114C0" w:rsidRDefault="00EB2DE2" w:rsidP="00AA6879">
            <w:pPr>
              <w:keepNext/>
              <w:rPr>
                <w:rFonts w:cs="Arial"/>
                <w:bCs w:val="0"/>
                <w:sz w:val="20"/>
                <w:szCs w:val="20"/>
              </w:rPr>
            </w:pPr>
            <w:r w:rsidRPr="00A114C0">
              <w:rPr>
                <w:rFonts w:cs="Arial"/>
                <w:bCs w:val="0"/>
                <w:sz w:val="20"/>
                <w:szCs w:val="20"/>
              </w:rPr>
              <w:t>“No Control” Base Case</w:t>
            </w:r>
            <w:r>
              <w:rPr>
                <w:rFonts w:cs="Arial"/>
                <w:bCs w:val="0"/>
                <w:sz w:val="20"/>
                <w:szCs w:val="20"/>
              </w:rPr>
              <w:t xml:space="preserve"> Values</w:t>
            </w:r>
          </w:p>
        </w:tc>
        <w:tc>
          <w:tcPr>
            <w:tcW w:w="1303" w:type="pct"/>
          </w:tcPr>
          <w:p w14:paraId="7DEFCCAF" w14:textId="77140A67" w:rsidR="00EB2DE2" w:rsidRPr="00A114C0" w:rsidRDefault="00EB2DE2" w:rsidP="00AA6879">
            <w:pPr>
              <w:keepNext/>
              <w:rPr>
                <w:rFonts w:cs="Arial"/>
                <w:bCs w:val="0"/>
                <w:sz w:val="20"/>
                <w:szCs w:val="20"/>
              </w:rPr>
            </w:pPr>
            <w:r>
              <w:rPr>
                <w:rFonts w:cs="Arial"/>
                <w:sz w:val="20"/>
                <w:szCs w:val="20"/>
              </w:rPr>
              <w:t xml:space="preserve">HA13 </w:t>
            </w:r>
            <w:r w:rsidRPr="00A114C0">
              <w:rPr>
                <w:rFonts w:cs="Arial"/>
                <w:bCs w:val="0"/>
                <w:sz w:val="20"/>
                <w:szCs w:val="20"/>
              </w:rPr>
              <w:t>“Temperature Modulation”</w:t>
            </w:r>
            <w:r>
              <w:rPr>
                <w:rFonts w:cs="Arial"/>
                <w:bCs w:val="0"/>
                <w:sz w:val="20"/>
                <w:szCs w:val="20"/>
              </w:rPr>
              <w:t xml:space="preserve"> Boiler Controller Values</w:t>
            </w:r>
          </w:p>
        </w:tc>
        <w:tc>
          <w:tcPr>
            <w:tcW w:w="872" w:type="pct"/>
          </w:tcPr>
          <w:p w14:paraId="7DEFCCB1" w14:textId="77777777" w:rsidR="00EB2DE2" w:rsidRPr="00A114C0" w:rsidRDefault="00EB2DE2" w:rsidP="00AA6879">
            <w:pPr>
              <w:keepNext/>
              <w:rPr>
                <w:rFonts w:cs="Arial"/>
                <w:bCs w:val="0"/>
                <w:sz w:val="20"/>
                <w:szCs w:val="20"/>
              </w:rPr>
            </w:pPr>
            <w:r w:rsidRPr="00A114C0">
              <w:rPr>
                <w:rFonts w:cs="Arial"/>
                <w:sz w:val="20"/>
                <w:szCs w:val="20"/>
              </w:rPr>
              <w:t>Reference Section</w:t>
            </w:r>
            <w:r>
              <w:rPr>
                <w:rFonts w:cs="Arial"/>
                <w:sz w:val="20"/>
                <w:szCs w:val="20"/>
              </w:rPr>
              <w:t>s</w:t>
            </w:r>
          </w:p>
        </w:tc>
      </w:tr>
      <w:tr w:rsidR="00EB2DE2" w:rsidRPr="00A114C0" w14:paraId="7DEFCCB8" w14:textId="77777777" w:rsidTr="00EB2DE2">
        <w:trPr>
          <w:cnfStyle w:val="000000100000" w:firstRow="0" w:lastRow="0" w:firstColumn="0" w:lastColumn="0" w:oddVBand="0" w:evenVBand="0" w:oddHBand="1" w:evenHBand="0" w:firstRowFirstColumn="0" w:firstRowLastColumn="0" w:lastRowFirstColumn="0" w:lastRowLastColumn="0"/>
        </w:trPr>
        <w:tc>
          <w:tcPr>
            <w:tcW w:w="1946" w:type="pct"/>
          </w:tcPr>
          <w:p w14:paraId="7DEFCCB3" w14:textId="77777777" w:rsidR="00EB2DE2" w:rsidRPr="00AA2158" w:rsidRDefault="00EB2DE2" w:rsidP="00B34414">
            <w:pPr>
              <w:keepNext/>
              <w:jc w:val="left"/>
              <w:rPr>
                <w:rFonts w:cs="Arial"/>
                <w:b/>
                <w:sz w:val="20"/>
                <w:szCs w:val="20"/>
              </w:rPr>
            </w:pPr>
            <w:r w:rsidRPr="00AA2158">
              <w:rPr>
                <w:rFonts w:cs="Arial"/>
                <w:b/>
                <w:color w:val="000000"/>
                <w:sz w:val="20"/>
                <w:szCs w:val="20"/>
              </w:rPr>
              <w:t>Avg. t</w:t>
            </w:r>
            <w:r w:rsidRPr="00AA2158">
              <w:rPr>
                <w:rFonts w:cs="Arial"/>
                <w:b/>
                <w:sz w:val="20"/>
                <w:szCs w:val="20"/>
              </w:rPr>
              <w:t>hermal efficiency for the gas hot water supply boiler or large gas storage water heater in the central water heating system</w:t>
            </w:r>
          </w:p>
        </w:tc>
        <w:tc>
          <w:tcPr>
            <w:tcW w:w="880" w:type="pct"/>
          </w:tcPr>
          <w:p w14:paraId="7DEFCCB4" w14:textId="77777777" w:rsidR="00EB2DE2" w:rsidRPr="009F07F6" w:rsidRDefault="00EB2DE2" w:rsidP="00AA6879">
            <w:pPr>
              <w:keepNext/>
              <w:rPr>
                <w:rFonts w:cs="Arial"/>
                <w:sz w:val="20"/>
                <w:szCs w:val="20"/>
              </w:rPr>
            </w:pPr>
            <w:r w:rsidRPr="009F07F6">
              <w:rPr>
                <w:rFonts w:cs="Arial"/>
                <w:color w:val="000000"/>
                <w:sz w:val="20"/>
                <w:szCs w:val="20"/>
              </w:rPr>
              <w:t>80% thermal efficiency</w:t>
            </w:r>
          </w:p>
        </w:tc>
        <w:tc>
          <w:tcPr>
            <w:tcW w:w="1303" w:type="pct"/>
          </w:tcPr>
          <w:p w14:paraId="7DEFCCB5" w14:textId="77777777" w:rsidR="00EB2DE2" w:rsidRPr="009F07F6" w:rsidRDefault="00EB2DE2" w:rsidP="00AA6879">
            <w:pPr>
              <w:keepNext/>
              <w:rPr>
                <w:rFonts w:cs="Arial"/>
                <w:sz w:val="20"/>
                <w:szCs w:val="20"/>
              </w:rPr>
            </w:pPr>
            <w:r w:rsidRPr="009F07F6">
              <w:rPr>
                <w:rFonts w:cs="Arial"/>
                <w:color w:val="000000"/>
                <w:sz w:val="20"/>
                <w:szCs w:val="20"/>
              </w:rPr>
              <w:t>80% thermal efficiency</w:t>
            </w:r>
          </w:p>
        </w:tc>
        <w:tc>
          <w:tcPr>
            <w:tcW w:w="872" w:type="pct"/>
          </w:tcPr>
          <w:p w14:paraId="7DEFCCB7"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.1</w:t>
            </w:r>
          </w:p>
        </w:tc>
      </w:tr>
      <w:tr w:rsidR="00EB2DE2" w:rsidRPr="00A114C0" w14:paraId="7DEFCCBE" w14:textId="77777777" w:rsidTr="00EB2DE2">
        <w:trPr>
          <w:cnfStyle w:val="000000010000" w:firstRow="0" w:lastRow="0" w:firstColumn="0" w:lastColumn="0" w:oddVBand="0" w:evenVBand="0" w:oddHBand="0" w:evenHBand="1" w:firstRowFirstColumn="0" w:firstRowLastColumn="0" w:lastRowFirstColumn="0" w:lastRowLastColumn="0"/>
        </w:trPr>
        <w:tc>
          <w:tcPr>
            <w:tcW w:w="1946" w:type="pct"/>
          </w:tcPr>
          <w:p w14:paraId="7DEFCCB9" w14:textId="77777777" w:rsidR="00EB2DE2" w:rsidRPr="00AA2158" w:rsidRDefault="00EB2DE2" w:rsidP="00404BAF">
            <w:pPr>
              <w:keepNext/>
              <w:jc w:val="left"/>
              <w:rPr>
                <w:rFonts w:cs="Arial"/>
                <w:b/>
                <w:sz w:val="20"/>
                <w:szCs w:val="20"/>
              </w:rPr>
            </w:pPr>
            <w:r w:rsidRPr="00AA2158">
              <w:rPr>
                <w:rFonts w:cs="Arial"/>
                <w:b/>
                <w:sz w:val="20"/>
                <w:szCs w:val="20"/>
              </w:rPr>
              <w:t xml:space="preserve">Avg. </w:t>
            </w:r>
            <w:proofErr w:type="spellStart"/>
            <w:r w:rsidRPr="00AA2158">
              <w:rPr>
                <w:rFonts w:cs="Arial"/>
                <w:b/>
                <w:sz w:val="20"/>
                <w:szCs w:val="20"/>
              </w:rPr>
              <w:t>therms</w:t>
            </w:r>
            <w:proofErr w:type="spellEnd"/>
            <w:r w:rsidRPr="00AA2158">
              <w:rPr>
                <w:rFonts w:cs="Arial"/>
                <w:b/>
                <w:sz w:val="20"/>
                <w:szCs w:val="20"/>
              </w:rPr>
              <w:t>/</w:t>
            </w:r>
            <w:r>
              <w:rPr>
                <w:rFonts w:cs="Arial"/>
                <w:b/>
                <w:sz w:val="20"/>
                <w:szCs w:val="20"/>
              </w:rPr>
              <w:t>lodging guest room</w:t>
            </w:r>
            <w:r w:rsidRPr="00AA2158">
              <w:rPr>
                <w:rFonts w:cs="Arial"/>
                <w:b/>
                <w:sz w:val="20"/>
                <w:szCs w:val="20"/>
              </w:rPr>
              <w:t>/</w:t>
            </w:r>
            <w:proofErr w:type="spellStart"/>
            <w:r w:rsidRPr="00AA2158">
              <w:rPr>
                <w:rFonts w:cs="Arial"/>
                <w:b/>
                <w:sz w:val="20"/>
                <w:szCs w:val="20"/>
              </w:rPr>
              <w:t>yr</w:t>
            </w:r>
            <w:proofErr w:type="spellEnd"/>
            <w:r w:rsidRPr="00AA2158">
              <w:rPr>
                <w:rFonts w:cs="Arial"/>
                <w:b/>
                <w:sz w:val="20"/>
                <w:szCs w:val="20"/>
              </w:rPr>
              <w:t xml:space="preserve"> Unit Energy Consumption (UEC) for the “no control” base case</w:t>
            </w:r>
          </w:p>
        </w:tc>
        <w:tc>
          <w:tcPr>
            <w:tcW w:w="880" w:type="pct"/>
          </w:tcPr>
          <w:p w14:paraId="7DEFCCBA" w14:textId="77777777" w:rsidR="00EB2DE2" w:rsidRPr="009F07F6" w:rsidRDefault="00EB2DE2" w:rsidP="00AA6879">
            <w:pPr>
              <w:keepNext/>
              <w:rPr>
                <w:rFonts w:cs="Arial"/>
                <w:sz w:val="20"/>
                <w:szCs w:val="20"/>
              </w:rPr>
            </w:pPr>
            <w:r w:rsidRPr="009F07F6">
              <w:rPr>
                <w:rFonts w:cs="Arial"/>
                <w:color w:val="000000"/>
                <w:sz w:val="20"/>
                <w:szCs w:val="20"/>
              </w:rPr>
              <w:t xml:space="preserve">116 </w:t>
            </w:r>
            <w:proofErr w:type="spellStart"/>
            <w:r w:rsidRPr="009F07F6">
              <w:rPr>
                <w:rFonts w:cs="Arial"/>
                <w:color w:val="000000"/>
                <w:sz w:val="20"/>
                <w:szCs w:val="20"/>
              </w:rPr>
              <w:t>therms</w:t>
            </w:r>
            <w:proofErr w:type="spellEnd"/>
          </w:p>
        </w:tc>
        <w:tc>
          <w:tcPr>
            <w:tcW w:w="1303" w:type="pct"/>
          </w:tcPr>
          <w:p w14:paraId="7DEFCCBB" w14:textId="77777777" w:rsidR="00EB2DE2" w:rsidRPr="009F07F6" w:rsidRDefault="00EB2DE2" w:rsidP="00AA6879">
            <w:pPr>
              <w:keepNext/>
              <w:rPr>
                <w:rFonts w:cs="Arial"/>
                <w:sz w:val="20"/>
                <w:szCs w:val="20"/>
              </w:rPr>
            </w:pPr>
            <w:r w:rsidRPr="009F07F6">
              <w:rPr>
                <w:rFonts w:cs="Arial"/>
                <w:sz w:val="20"/>
                <w:szCs w:val="20"/>
              </w:rPr>
              <w:t>N/A</w:t>
            </w:r>
          </w:p>
        </w:tc>
        <w:tc>
          <w:tcPr>
            <w:tcW w:w="872" w:type="pct"/>
          </w:tcPr>
          <w:p w14:paraId="7DEFCCBD"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.4</w:t>
            </w:r>
          </w:p>
        </w:tc>
      </w:tr>
      <w:tr w:rsidR="00EB2DE2" w:rsidRPr="00A114C0" w14:paraId="7DEFCCC4" w14:textId="77777777" w:rsidTr="00EB2DE2">
        <w:trPr>
          <w:cnfStyle w:val="000000100000" w:firstRow="0" w:lastRow="0" w:firstColumn="0" w:lastColumn="0" w:oddVBand="0" w:evenVBand="0" w:oddHBand="1" w:evenHBand="0" w:firstRowFirstColumn="0" w:firstRowLastColumn="0" w:lastRowFirstColumn="0" w:lastRowLastColumn="0"/>
        </w:trPr>
        <w:tc>
          <w:tcPr>
            <w:tcW w:w="1946" w:type="pct"/>
          </w:tcPr>
          <w:p w14:paraId="7DEFCCBF" w14:textId="77777777" w:rsidR="00EB2DE2" w:rsidRPr="00AA2158" w:rsidRDefault="00EB2DE2" w:rsidP="00B34414">
            <w:pPr>
              <w:keepNext/>
              <w:jc w:val="left"/>
              <w:rPr>
                <w:rFonts w:cs="Arial"/>
                <w:b/>
                <w:sz w:val="20"/>
                <w:szCs w:val="20"/>
              </w:rPr>
            </w:pPr>
            <w:r w:rsidRPr="00AA2158">
              <w:rPr>
                <w:rFonts w:cs="Arial"/>
                <w:b/>
                <w:color w:val="000000"/>
                <w:sz w:val="20"/>
                <w:szCs w:val="20"/>
              </w:rPr>
              <w:t>Avg. water heating gas consumption for supply &amp; return water piping heat losses</w:t>
            </w:r>
          </w:p>
        </w:tc>
        <w:tc>
          <w:tcPr>
            <w:tcW w:w="880" w:type="pct"/>
          </w:tcPr>
          <w:p w14:paraId="7DEFCCC0" w14:textId="77777777" w:rsidR="00EB2DE2" w:rsidRPr="009F07F6" w:rsidRDefault="00EB2DE2" w:rsidP="00AA6879">
            <w:pPr>
              <w:keepNext/>
              <w:rPr>
                <w:rFonts w:cs="Arial"/>
                <w:sz w:val="20"/>
                <w:szCs w:val="20"/>
              </w:rPr>
            </w:pPr>
            <w:r w:rsidRPr="009F07F6">
              <w:rPr>
                <w:rFonts w:cs="Arial"/>
                <w:color w:val="000000"/>
                <w:sz w:val="20"/>
                <w:szCs w:val="20"/>
              </w:rPr>
              <w:t>30%</w:t>
            </w:r>
          </w:p>
        </w:tc>
        <w:tc>
          <w:tcPr>
            <w:tcW w:w="1303" w:type="pct"/>
          </w:tcPr>
          <w:p w14:paraId="7DEFCCC1" w14:textId="77777777" w:rsidR="00EB2DE2" w:rsidRPr="009F07F6" w:rsidRDefault="00EB2DE2" w:rsidP="00AA6879">
            <w:pPr>
              <w:keepNext/>
              <w:rPr>
                <w:rFonts w:cs="Arial"/>
                <w:sz w:val="20"/>
                <w:szCs w:val="20"/>
              </w:rPr>
            </w:pPr>
            <w:r w:rsidRPr="009F07F6">
              <w:rPr>
                <w:rFonts w:cs="Arial"/>
                <w:color w:val="000000"/>
                <w:sz w:val="20"/>
                <w:szCs w:val="20"/>
              </w:rPr>
              <w:t>30%</w:t>
            </w:r>
          </w:p>
        </w:tc>
        <w:tc>
          <w:tcPr>
            <w:tcW w:w="872" w:type="pct"/>
          </w:tcPr>
          <w:p w14:paraId="7DEFCCC3"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.5</w:t>
            </w:r>
          </w:p>
        </w:tc>
      </w:tr>
      <w:tr w:rsidR="00EB2DE2" w:rsidRPr="00A114C0" w14:paraId="7DEFCCCA" w14:textId="77777777" w:rsidTr="00EB2DE2">
        <w:trPr>
          <w:cnfStyle w:val="000000010000" w:firstRow="0" w:lastRow="0" w:firstColumn="0" w:lastColumn="0" w:oddVBand="0" w:evenVBand="0" w:oddHBand="0" w:evenHBand="1" w:firstRowFirstColumn="0" w:firstRowLastColumn="0" w:lastRowFirstColumn="0" w:lastRowLastColumn="0"/>
        </w:trPr>
        <w:tc>
          <w:tcPr>
            <w:tcW w:w="1946" w:type="pct"/>
          </w:tcPr>
          <w:p w14:paraId="7DEFCCC5" w14:textId="77777777" w:rsidR="00EB2DE2" w:rsidRPr="00AA2158" w:rsidRDefault="00EB2DE2" w:rsidP="00B34414">
            <w:pPr>
              <w:keepNext/>
              <w:jc w:val="left"/>
              <w:rPr>
                <w:rFonts w:cs="Arial"/>
                <w:b/>
                <w:sz w:val="20"/>
                <w:szCs w:val="20"/>
              </w:rPr>
            </w:pPr>
            <w:r w:rsidRPr="00AA2158">
              <w:rPr>
                <w:rFonts w:cs="Arial"/>
                <w:b/>
                <w:color w:val="000000"/>
                <w:sz w:val="20"/>
                <w:szCs w:val="20"/>
              </w:rPr>
              <w:t>Avg. supply water temperature</w:t>
            </w:r>
          </w:p>
        </w:tc>
        <w:tc>
          <w:tcPr>
            <w:tcW w:w="880" w:type="pct"/>
          </w:tcPr>
          <w:p w14:paraId="7DEFCCC6" w14:textId="77777777" w:rsidR="00EB2DE2" w:rsidRPr="009F07F6" w:rsidRDefault="00EB2DE2" w:rsidP="00AA6879">
            <w:pPr>
              <w:keepNext/>
              <w:rPr>
                <w:rFonts w:cs="Arial"/>
                <w:sz w:val="20"/>
                <w:szCs w:val="20"/>
              </w:rPr>
            </w:pPr>
            <w:r w:rsidRPr="009F07F6">
              <w:rPr>
                <w:rFonts w:cs="Arial"/>
                <w:color w:val="000000"/>
                <w:sz w:val="20"/>
                <w:szCs w:val="20"/>
              </w:rPr>
              <w:t>135 deg. F</w:t>
            </w:r>
          </w:p>
        </w:tc>
        <w:tc>
          <w:tcPr>
            <w:tcW w:w="1303" w:type="pct"/>
          </w:tcPr>
          <w:p w14:paraId="7DEFCCC7" w14:textId="77777777" w:rsidR="00EB2DE2" w:rsidRPr="009F07F6" w:rsidRDefault="00EB2DE2" w:rsidP="00AA6879">
            <w:pPr>
              <w:keepNext/>
              <w:rPr>
                <w:rFonts w:cs="Arial"/>
                <w:sz w:val="20"/>
                <w:szCs w:val="20"/>
              </w:rPr>
            </w:pPr>
            <w:r w:rsidRPr="009F07F6">
              <w:rPr>
                <w:rFonts w:cs="Arial"/>
                <w:color w:val="000000"/>
                <w:sz w:val="20"/>
                <w:szCs w:val="20"/>
              </w:rPr>
              <w:t>132.5 deg. F</w:t>
            </w:r>
          </w:p>
        </w:tc>
        <w:tc>
          <w:tcPr>
            <w:tcW w:w="872" w:type="pct"/>
          </w:tcPr>
          <w:p w14:paraId="7DEFCCC9" w14:textId="77777777" w:rsidR="00EB2DE2" w:rsidRPr="009F07F6" w:rsidRDefault="00EB2DE2" w:rsidP="00AA6879">
            <w:pPr>
              <w:keepNext/>
              <w:rPr>
                <w:rFonts w:cs="Arial"/>
                <w:color w:val="000000"/>
                <w:sz w:val="20"/>
                <w:szCs w:val="20"/>
              </w:rPr>
            </w:pPr>
            <w:r w:rsidRPr="009F07F6">
              <w:rPr>
                <w:rFonts w:cs="Arial"/>
                <w:color w:val="000000"/>
                <w:sz w:val="20"/>
                <w:szCs w:val="20"/>
              </w:rPr>
              <w:t>Section 1.4.4</w:t>
            </w:r>
            <w:r>
              <w:rPr>
                <w:rFonts w:cs="Arial"/>
                <w:color w:val="000000"/>
                <w:sz w:val="20"/>
                <w:szCs w:val="20"/>
              </w:rPr>
              <w:t>.6</w:t>
            </w:r>
          </w:p>
        </w:tc>
      </w:tr>
      <w:tr w:rsidR="00EB2DE2" w:rsidRPr="00A114C0" w14:paraId="7DEFCCD0" w14:textId="77777777" w:rsidTr="00EB2DE2">
        <w:trPr>
          <w:cnfStyle w:val="000000100000" w:firstRow="0" w:lastRow="0" w:firstColumn="0" w:lastColumn="0" w:oddVBand="0" w:evenVBand="0" w:oddHBand="1" w:evenHBand="0" w:firstRowFirstColumn="0" w:firstRowLastColumn="0" w:lastRowFirstColumn="0" w:lastRowLastColumn="0"/>
        </w:trPr>
        <w:tc>
          <w:tcPr>
            <w:tcW w:w="1946" w:type="pct"/>
          </w:tcPr>
          <w:p w14:paraId="7DEFCCCB" w14:textId="77777777" w:rsidR="00EB2DE2" w:rsidRPr="00AA2158" w:rsidRDefault="00EB2DE2" w:rsidP="00B34414">
            <w:pPr>
              <w:keepNext/>
              <w:jc w:val="left"/>
              <w:rPr>
                <w:rFonts w:cs="Arial"/>
                <w:b/>
                <w:sz w:val="20"/>
                <w:szCs w:val="20"/>
              </w:rPr>
            </w:pPr>
            <w:r w:rsidRPr="00AA2158">
              <w:rPr>
                <w:rFonts w:cs="Arial"/>
                <w:b/>
                <w:color w:val="000000"/>
                <w:sz w:val="20"/>
                <w:szCs w:val="20"/>
              </w:rPr>
              <w:t xml:space="preserve">Avg. </w:t>
            </w:r>
            <w:r w:rsidRPr="00AA2158">
              <w:rPr>
                <w:rFonts w:cs="Arial"/>
                <w:b/>
                <w:sz w:val="20"/>
                <w:szCs w:val="20"/>
              </w:rPr>
              <w:t>lower supply &amp; return water piping temperature than supply water temperature</w:t>
            </w:r>
          </w:p>
        </w:tc>
        <w:tc>
          <w:tcPr>
            <w:tcW w:w="880" w:type="pct"/>
          </w:tcPr>
          <w:p w14:paraId="7DEFCCCC" w14:textId="77777777" w:rsidR="00EB2DE2" w:rsidRPr="009F07F6" w:rsidRDefault="00EB2DE2" w:rsidP="00AA6879">
            <w:pPr>
              <w:keepNext/>
              <w:rPr>
                <w:rFonts w:cs="Arial"/>
                <w:sz w:val="20"/>
                <w:szCs w:val="20"/>
              </w:rPr>
            </w:pPr>
            <w:r w:rsidRPr="009F07F6">
              <w:rPr>
                <w:rFonts w:cs="Arial"/>
                <w:color w:val="000000"/>
                <w:sz w:val="20"/>
                <w:szCs w:val="20"/>
              </w:rPr>
              <w:t>5 deg. F</w:t>
            </w:r>
          </w:p>
        </w:tc>
        <w:tc>
          <w:tcPr>
            <w:tcW w:w="1303" w:type="pct"/>
          </w:tcPr>
          <w:p w14:paraId="7DEFCCCD" w14:textId="77777777" w:rsidR="00EB2DE2" w:rsidRPr="009F07F6" w:rsidRDefault="00EB2DE2" w:rsidP="00AA6879">
            <w:pPr>
              <w:keepNext/>
              <w:rPr>
                <w:rFonts w:cs="Arial"/>
                <w:sz w:val="20"/>
                <w:szCs w:val="20"/>
              </w:rPr>
            </w:pPr>
            <w:r w:rsidRPr="009F07F6">
              <w:rPr>
                <w:rFonts w:cs="Arial"/>
                <w:sz w:val="20"/>
                <w:szCs w:val="20"/>
              </w:rPr>
              <w:t>5 deg. F</w:t>
            </w:r>
          </w:p>
        </w:tc>
        <w:tc>
          <w:tcPr>
            <w:tcW w:w="872" w:type="pct"/>
          </w:tcPr>
          <w:p w14:paraId="7DEFCCCF"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.7</w:t>
            </w:r>
          </w:p>
        </w:tc>
      </w:tr>
      <w:tr w:rsidR="00EB2DE2" w:rsidRPr="00A114C0" w14:paraId="7DEFCCD6" w14:textId="77777777" w:rsidTr="00EB2DE2">
        <w:trPr>
          <w:cnfStyle w:val="000000010000" w:firstRow="0" w:lastRow="0" w:firstColumn="0" w:lastColumn="0" w:oddVBand="0" w:evenVBand="0" w:oddHBand="0" w:evenHBand="1" w:firstRowFirstColumn="0" w:firstRowLastColumn="0" w:lastRowFirstColumn="0" w:lastRowLastColumn="0"/>
        </w:trPr>
        <w:tc>
          <w:tcPr>
            <w:tcW w:w="1946" w:type="pct"/>
          </w:tcPr>
          <w:p w14:paraId="7DEFCCD1" w14:textId="77777777" w:rsidR="00EB2DE2" w:rsidRPr="00AA2158" w:rsidRDefault="00EB2DE2" w:rsidP="00B34414">
            <w:pPr>
              <w:keepNext/>
              <w:jc w:val="left"/>
              <w:rPr>
                <w:rFonts w:cs="Arial"/>
                <w:b/>
                <w:sz w:val="20"/>
                <w:szCs w:val="20"/>
              </w:rPr>
            </w:pPr>
            <w:r w:rsidRPr="00AA2158">
              <w:rPr>
                <w:rFonts w:cs="Arial"/>
                <w:b/>
                <w:color w:val="000000"/>
                <w:sz w:val="20"/>
                <w:szCs w:val="20"/>
              </w:rPr>
              <w:t>Avg. supply &amp; return water piping surroundings temperature</w:t>
            </w:r>
          </w:p>
        </w:tc>
        <w:tc>
          <w:tcPr>
            <w:tcW w:w="880" w:type="pct"/>
          </w:tcPr>
          <w:p w14:paraId="7DEFCCD2" w14:textId="77777777" w:rsidR="00EB2DE2" w:rsidRPr="009F07F6" w:rsidRDefault="00EB2DE2" w:rsidP="00AA6879">
            <w:pPr>
              <w:keepNext/>
              <w:rPr>
                <w:rFonts w:cs="Arial"/>
                <w:sz w:val="20"/>
                <w:szCs w:val="20"/>
              </w:rPr>
            </w:pPr>
            <w:r w:rsidRPr="009F07F6">
              <w:rPr>
                <w:rFonts w:cs="Arial"/>
                <w:color w:val="000000"/>
                <w:sz w:val="20"/>
                <w:szCs w:val="20"/>
              </w:rPr>
              <w:t>60 deg. F</w:t>
            </w:r>
          </w:p>
        </w:tc>
        <w:tc>
          <w:tcPr>
            <w:tcW w:w="1303" w:type="pct"/>
          </w:tcPr>
          <w:p w14:paraId="7DEFCCD3" w14:textId="77777777" w:rsidR="00EB2DE2" w:rsidRPr="009F07F6" w:rsidRDefault="00EB2DE2" w:rsidP="00AA6879">
            <w:pPr>
              <w:keepNext/>
              <w:rPr>
                <w:rFonts w:cs="Arial"/>
                <w:sz w:val="20"/>
                <w:szCs w:val="20"/>
              </w:rPr>
            </w:pPr>
            <w:r w:rsidRPr="009F07F6">
              <w:rPr>
                <w:rFonts w:cs="Arial"/>
                <w:sz w:val="20"/>
                <w:szCs w:val="20"/>
              </w:rPr>
              <w:t>60 deg. F</w:t>
            </w:r>
          </w:p>
        </w:tc>
        <w:tc>
          <w:tcPr>
            <w:tcW w:w="872" w:type="pct"/>
          </w:tcPr>
          <w:p w14:paraId="7DEFCCD5" w14:textId="77777777" w:rsidR="00EB2DE2" w:rsidRPr="009F07F6" w:rsidRDefault="00EB2DE2" w:rsidP="00AA6879">
            <w:pPr>
              <w:keepNext/>
              <w:rPr>
                <w:rFonts w:cs="Arial"/>
                <w:sz w:val="20"/>
                <w:szCs w:val="20"/>
              </w:rPr>
            </w:pPr>
            <w:r w:rsidRPr="009F07F6">
              <w:rPr>
                <w:rFonts w:cs="Arial"/>
                <w:color w:val="000000"/>
                <w:sz w:val="20"/>
                <w:szCs w:val="20"/>
              </w:rPr>
              <w:t>Section 1.4.4</w:t>
            </w:r>
            <w:r>
              <w:rPr>
                <w:rFonts w:cs="Arial"/>
                <w:color w:val="000000"/>
                <w:sz w:val="20"/>
                <w:szCs w:val="20"/>
              </w:rPr>
              <w:t>.8</w:t>
            </w:r>
          </w:p>
        </w:tc>
      </w:tr>
    </w:tbl>
    <w:p w14:paraId="7DEFCCD7" w14:textId="77777777" w:rsidR="00C069A2" w:rsidRPr="00576E4B" w:rsidRDefault="00CF3FF0" w:rsidP="00576E4B">
      <w:pPr>
        <w:pStyle w:val="Heading1"/>
      </w:pPr>
      <w:bookmarkStart w:id="71" w:name="_Toc481419693"/>
      <w:proofErr w:type="gramStart"/>
      <w:r w:rsidRPr="00576E4B">
        <w:t xml:space="preserve">Section </w:t>
      </w:r>
      <w:r w:rsidR="00C069A2" w:rsidRPr="00576E4B">
        <w:t>2</w:t>
      </w:r>
      <w:r w:rsidR="003129E8" w:rsidRPr="00576E4B">
        <w:t>.</w:t>
      </w:r>
      <w:proofErr w:type="gramEnd"/>
      <w:r w:rsidR="00C069A2" w:rsidRPr="00576E4B">
        <w:t xml:space="preserve"> Calculation Methods</w:t>
      </w:r>
      <w:bookmarkEnd w:id="68"/>
      <w:bookmarkEnd w:id="69"/>
      <w:bookmarkEnd w:id="71"/>
    </w:p>
    <w:p w14:paraId="7DEFCCD8" w14:textId="77777777" w:rsidR="00C069A2" w:rsidRDefault="00C069A2" w:rsidP="00292713">
      <w:pPr>
        <w:pStyle w:val="Heading2"/>
      </w:pPr>
      <w:bookmarkStart w:id="72" w:name="_Toc304800211"/>
      <w:bookmarkStart w:id="73" w:name="_Toc324318365"/>
      <w:bookmarkStart w:id="74" w:name="_Toc324340494"/>
      <w:bookmarkStart w:id="75" w:name="_Toc481419694"/>
      <w:r>
        <w:t xml:space="preserve">2.1 </w:t>
      </w:r>
      <w:r w:rsidR="007878B9">
        <w:t xml:space="preserve">Electric </w:t>
      </w:r>
      <w:r>
        <w:t>Energy Savings Estimation Methodologies</w:t>
      </w:r>
      <w:bookmarkEnd w:id="72"/>
      <w:bookmarkEnd w:id="73"/>
      <w:bookmarkEnd w:id="74"/>
      <w:bookmarkEnd w:id="75"/>
    </w:p>
    <w:p w14:paraId="7DEFCCD9" w14:textId="77777777" w:rsidR="00044570" w:rsidRPr="004967A2" w:rsidRDefault="003D0F5B" w:rsidP="00292713">
      <w:pPr>
        <w:rPr>
          <w:rFonts w:cs="Arial"/>
          <w:sz w:val="20"/>
          <w:szCs w:val="20"/>
        </w:rPr>
      </w:pPr>
      <w:r>
        <w:rPr>
          <w:rFonts w:cs="Arial"/>
          <w:sz w:val="20"/>
          <w:szCs w:val="20"/>
        </w:rPr>
        <w:t xml:space="preserve">The </w:t>
      </w:r>
      <w:proofErr w:type="spellStart"/>
      <w:r w:rsidR="008722BC">
        <w:rPr>
          <w:rFonts w:cs="Arial"/>
          <w:sz w:val="20"/>
          <w:szCs w:val="20"/>
        </w:rPr>
        <w:t>workpaper</w:t>
      </w:r>
      <w:proofErr w:type="spellEnd"/>
      <w:r w:rsidR="008722BC">
        <w:rPr>
          <w:rFonts w:cs="Arial"/>
          <w:sz w:val="20"/>
          <w:szCs w:val="20"/>
        </w:rPr>
        <w:t xml:space="preserve"> measures </w:t>
      </w:r>
      <w:r>
        <w:rPr>
          <w:rFonts w:cs="Arial"/>
          <w:sz w:val="20"/>
          <w:szCs w:val="20"/>
        </w:rPr>
        <w:t>do not produce electric energy savings.</w:t>
      </w:r>
    </w:p>
    <w:p w14:paraId="7DEFCCDA" w14:textId="77777777" w:rsidR="00C069A2" w:rsidRPr="003D0F5B" w:rsidRDefault="0030550A" w:rsidP="00292713">
      <w:pPr>
        <w:pStyle w:val="Heading2"/>
      </w:pPr>
      <w:bookmarkStart w:id="76" w:name="_Toc304800212"/>
      <w:bookmarkStart w:id="77" w:name="_Toc324318366"/>
      <w:bookmarkStart w:id="78" w:name="_Toc324340495"/>
      <w:bookmarkStart w:id="79" w:name="_Toc481419695"/>
      <w:r w:rsidRPr="003D0F5B">
        <w:t>2.2. Demand R</w:t>
      </w:r>
      <w:r w:rsidR="00C069A2" w:rsidRPr="003D0F5B">
        <w:t>eduction Estimation Methodologies</w:t>
      </w:r>
      <w:bookmarkEnd w:id="76"/>
      <w:bookmarkEnd w:id="77"/>
      <w:bookmarkEnd w:id="78"/>
      <w:bookmarkEnd w:id="79"/>
    </w:p>
    <w:p w14:paraId="7DEFCCDB" w14:textId="77777777" w:rsidR="003D0F5B" w:rsidRPr="003D0F5B" w:rsidRDefault="003D0F5B" w:rsidP="00292713">
      <w:pPr>
        <w:rPr>
          <w:rFonts w:cs="Arial"/>
          <w:sz w:val="20"/>
          <w:szCs w:val="20"/>
        </w:rPr>
      </w:pPr>
      <w:r w:rsidRPr="003D0F5B">
        <w:rPr>
          <w:rFonts w:cs="Arial"/>
          <w:sz w:val="20"/>
          <w:szCs w:val="20"/>
        </w:rPr>
        <w:t>The</w:t>
      </w:r>
      <w:r w:rsidR="008722BC">
        <w:rPr>
          <w:rFonts w:cs="Arial"/>
          <w:sz w:val="20"/>
          <w:szCs w:val="20"/>
        </w:rPr>
        <w:t xml:space="preserve"> </w:t>
      </w:r>
      <w:proofErr w:type="spellStart"/>
      <w:r w:rsidR="008722BC">
        <w:rPr>
          <w:rFonts w:cs="Arial"/>
          <w:sz w:val="20"/>
          <w:szCs w:val="20"/>
        </w:rPr>
        <w:t>workpaper</w:t>
      </w:r>
      <w:proofErr w:type="spellEnd"/>
      <w:r w:rsidR="008722BC">
        <w:rPr>
          <w:rFonts w:cs="Arial"/>
          <w:sz w:val="20"/>
          <w:szCs w:val="20"/>
        </w:rPr>
        <w:t xml:space="preserve"> measures </w:t>
      </w:r>
      <w:r w:rsidRPr="003D0F5B">
        <w:rPr>
          <w:rFonts w:cs="Arial"/>
          <w:sz w:val="20"/>
          <w:szCs w:val="20"/>
        </w:rPr>
        <w:t>do not produce electric demand savings.</w:t>
      </w:r>
    </w:p>
    <w:p w14:paraId="7DEFCCDD" w14:textId="77777777" w:rsidR="007878B9" w:rsidRPr="00BF0332" w:rsidRDefault="00276ED1" w:rsidP="00292713">
      <w:pPr>
        <w:pStyle w:val="Heading2"/>
      </w:pPr>
      <w:bookmarkStart w:id="80" w:name="_Toc304800213"/>
      <w:bookmarkStart w:id="81" w:name="_Toc324318367"/>
      <w:bookmarkStart w:id="82" w:name="_Toc324340496"/>
      <w:bookmarkStart w:id="83" w:name="_Toc481419696"/>
      <w:r w:rsidRPr="00BF0332">
        <w:t xml:space="preserve">2.3. </w:t>
      </w:r>
      <w:r w:rsidR="007878B9" w:rsidRPr="00BF0332">
        <w:t>Gas Energy Savings Estimat</w:t>
      </w:r>
      <w:bookmarkEnd w:id="80"/>
      <w:bookmarkEnd w:id="81"/>
      <w:bookmarkEnd w:id="82"/>
      <w:r w:rsidR="00BC6088">
        <w:t>es</w:t>
      </w:r>
      <w:bookmarkEnd w:id="83"/>
    </w:p>
    <w:p w14:paraId="7DEFCCDE" w14:textId="1B177954" w:rsidR="005123E9" w:rsidRDefault="005123E9" w:rsidP="005123E9">
      <w:pPr>
        <w:pStyle w:val="Heading2"/>
      </w:pPr>
      <w:bookmarkStart w:id="84" w:name="_Toc481419697"/>
      <w:r w:rsidRPr="00222FC1">
        <w:t xml:space="preserve">2.3.1. Gas Energy Savings </w:t>
      </w:r>
      <w:r w:rsidR="002C209B">
        <w:t>Estimate</w:t>
      </w:r>
      <w:r w:rsidRPr="00222FC1">
        <w:t xml:space="preserve"> for </w:t>
      </w:r>
      <w:r w:rsidR="00635B9F">
        <w:t>HA10</w:t>
      </w:r>
      <w:r w:rsidR="00884BAD">
        <w:t xml:space="preserve"> </w:t>
      </w:r>
      <w:r>
        <w:t xml:space="preserve">“Temperature Modulation” </w:t>
      </w:r>
      <w:r w:rsidR="00884BAD">
        <w:t xml:space="preserve">Boiler </w:t>
      </w:r>
      <w:r w:rsidR="00BB4C31">
        <w:t>Controller for</w:t>
      </w:r>
      <w:r>
        <w:t xml:space="preserve"> Multifamily Facilities</w:t>
      </w:r>
      <w:bookmarkEnd w:id="84"/>
    </w:p>
    <w:p w14:paraId="7DEFCCDF" w14:textId="082C9C05" w:rsidR="00D827A2" w:rsidRPr="000C0B06" w:rsidRDefault="00D827A2" w:rsidP="00D827A2">
      <w:pPr>
        <w:ind w:left="360"/>
        <w:rPr>
          <w:rFonts w:cs="Arial"/>
          <w:sz w:val="20"/>
          <w:szCs w:val="20"/>
        </w:rPr>
      </w:pPr>
      <w:r w:rsidRPr="00BB72C5">
        <w:rPr>
          <w:rFonts w:cs="Arial"/>
          <w:b/>
          <w:sz w:val="20"/>
          <w:szCs w:val="20"/>
        </w:rPr>
        <w:t xml:space="preserve">Avg. 2.0 </w:t>
      </w:r>
      <w:proofErr w:type="spellStart"/>
      <w:r w:rsidRPr="00BB72C5">
        <w:rPr>
          <w:rFonts w:cs="Arial"/>
          <w:b/>
          <w:sz w:val="20"/>
          <w:szCs w:val="20"/>
        </w:rPr>
        <w:t>therms</w:t>
      </w:r>
      <w:proofErr w:type="spellEnd"/>
      <w:r w:rsidRPr="00BB72C5">
        <w:rPr>
          <w:rFonts w:cs="Arial"/>
          <w:b/>
          <w:sz w:val="20"/>
          <w:szCs w:val="20"/>
        </w:rPr>
        <w:t>/multifamily dwelling unit/</w:t>
      </w:r>
      <w:proofErr w:type="spellStart"/>
      <w:r w:rsidRPr="00BB72C5">
        <w:rPr>
          <w:rFonts w:cs="Arial"/>
          <w:b/>
          <w:sz w:val="20"/>
          <w:szCs w:val="20"/>
        </w:rPr>
        <w:t>yr</w:t>
      </w:r>
      <w:proofErr w:type="spellEnd"/>
      <w:r w:rsidRPr="00BB72C5">
        <w:rPr>
          <w:rFonts w:cs="Arial"/>
          <w:b/>
          <w:sz w:val="20"/>
          <w:szCs w:val="20"/>
        </w:rPr>
        <w:t xml:space="preserve"> </w:t>
      </w:r>
      <w:r w:rsidR="00BB72C5" w:rsidRPr="00BB72C5">
        <w:rPr>
          <w:rFonts w:cs="Arial"/>
          <w:b/>
          <w:sz w:val="20"/>
          <w:szCs w:val="20"/>
        </w:rPr>
        <w:t xml:space="preserve">water heating </w:t>
      </w:r>
      <w:r w:rsidRPr="00BB72C5">
        <w:rPr>
          <w:rFonts w:cs="Arial"/>
          <w:b/>
          <w:sz w:val="20"/>
          <w:szCs w:val="20"/>
        </w:rPr>
        <w:t>g</w:t>
      </w:r>
      <w:r w:rsidR="00884BAD">
        <w:rPr>
          <w:rFonts w:cs="Arial"/>
          <w:b/>
          <w:sz w:val="20"/>
          <w:szCs w:val="20"/>
        </w:rPr>
        <w:t xml:space="preserve">as savings for </w:t>
      </w:r>
      <w:r w:rsidR="00635B9F">
        <w:rPr>
          <w:rFonts w:cs="Arial"/>
          <w:b/>
          <w:sz w:val="20"/>
          <w:szCs w:val="20"/>
        </w:rPr>
        <w:t>HA10</w:t>
      </w:r>
      <w:r w:rsidR="00884BAD">
        <w:rPr>
          <w:rFonts w:cs="Arial"/>
          <w:b/>
          <w:sz w:val="20"/>
          <w:szCs w:val="20"/>
        </w:rPr>
        <w:t xml:space="preserve"> </w:t>
      </w:r>
      <w:r w:rsidRPr="00BB72C5">
        <w:rPr>
          <w:rFonts w:cs="Arial"/>
          <w:b/>
          <w:sz w:val="20"/>
          <w:szCs w:val="20"/>
        </w:rPr>
        <w:t xml:space="preserve">“temperature modulation” </w:t>
      </w:r>
      <w:r w:rsidR="00884BAD">
        <w:rPr>
          <w:rFonts w:cs="Arial"/>
          <w:b/>
          <w:sz w:val="20"/>
          <w:szCs w:val="20"/>
        </w:rPr>
        <w:t xml:space="preserve">boiler </w:t>
      </w:r>
      <w:r w:rsidRPr="00BB72C5">
        <w:rPr>
          <w:rFonts w:cs="Arial"/>
          <w:b/>
          <w:sz w:val="20"/>
          <w:szCs w:val="20"/>
        </w:rPr>
        <w:t>controller =</w:t>
      </w:r>
      <w:r w:rsidRPr="000C0B06">
        <w:rPr>
          <w:rFonts w:cs="Arial"/>
          <w:sz w:val="20"/>
          <w:szCs w:val="20"/>
        </w:rPr>
        <w:t xml:space="preserve"> (avg. 186 </w:t>
      </w:r>
      <w:proofErr w:type="spellStart"/>
      <w:r w:rsidRPr="000C0B06">
        <w:rPr>
          <w:rFonts w:cs="Arial"/>
          <w:sz w:val="20"/>
          <w:szCs w:val="20"/>
        </w:rPr>
        <w:t>therms</w:t>
      </w:r>
      <w:proofErr w:type="spellEnd"/>
      <w:r w:rsidRPr="000C0B06">
        <w:rPr>
          <w:rFonts w:cs="Arial"/>
          <w:sz w:val="20"/>
          <w:szCs w:val="20"/>
        </w:rPr>
        <w:t>/multifamily dwelling unit/</w:t>
      </w:r>
      <w:proofErr w:type="spellStart"/>
      <w:r w:rsidRPr="000C0B06">
        <w:rPr>
          <w:rFonts w:cs="Arial"/>
          <w:sz w:val="20"/>
          <w:szCs w:val="20"/>
        </w:rPr>
        <w:t>yr</w:t>
      </w:r>
      <w:proofErr w:type="spellEnd"/>
      <w:r w:rsidRPr="000C0B06">
        <w:rPr>
          <w:rFonts w:cs="Arial"/>
          <w:sz w:val="20"/>
          <w:szCs w:val="20"/>
        </w:rPr>
        <w:t xml:space="preserve"> water heating gas consu</w:t>
      </w:r>
      <w:r>
        <w:rPr>
          <w:rFonts w:cs="Arial"/>
          <w:sz w:val="20"/>
          <w:szCs w:val="20"/>
        </w:rPr>
        <w:t xml:space="preserve">mption </w:t>
      </w:r>
      <w:r w:rsidR="009D2D38">
        <w:rPr>
          <w:rFonts w:cs="Arial"/>
          <w:sz w:val="20"/>
          <w:szCs w:val="20"/>
        </w:rPr>
        <w:t>for</w:t>
      </w:r>
      <w:r>
        <w:rPr>
          <w:rFonts w:cs="Arial"/>
          <w:sz w:val="20"/>
          <w:szCs w:val="20"/>
        </w:rPr>
        <w:t xml:space="preserve"> </w:t>
      </w:r>
      <w:r w:rsidR="006B5F65">
        <w:rPr>
          <w:rFonts w:cs="Arial"/>
          <w:sz w:val="20"/>
          <w:szCs w:val="20"/>
        </w:rPr>
        <w:t>base case)*</w:t>
      </w:r>
      <w:r w:rsidR="006B5F65" w:rsidRPr="000C0B06">
        <w:rPr>
          <w:rFonts w:cs="Arial"/>
          <w:sz w:val="20"/>
          <w:szCs w:val="20"/>
        </w:rPr>
        <w:t xml:space="preserve">(avg. </w:t>
      </w:r>
      <w:r w:rsidR="006B5F65" w:rsidRPr="000C0B06">
        <w:rPr>
          <w:sz w:val="20"/>
          <w:szCs w:val="20"/>
        </w:rPr>
        <w:t>30%</w:t>
      </w:r>
      <w:r w:rsidR="006B5F65" w:rsidRPr="000C0B06">
        <w:rPr>
          <w:rFonts w:cs="Arial"/>
          <w:sz w:val="20"/>
          <w:szCs w:val="20"/>
        </w:rPr>
        <w:t xml:space="preserve"> water heating gas consumption for supply &amp; return water piping heat losses)</w:t>
      </w:r>
      <w:r w:rsidR="006B5F65">
        <w:rPr>
          <w:rFonts w:cs="Arial"/>
          <w:sz w:val="20"/>
          <w:szCs w:val="20"/>
        </w:rPr>
        <w:t xml:space="preserve">*{1 - </w:t>
      </w:r>
      <w:r w:rsidRPr="000C0B06">
        <w:rPr>
          <w:rFonts w:cs="Arial"/>
          <w:sz w:val="20"/>
          <w:szCs w:val="20"/>
        </w:rPr>
        <w:t xml:space="preserve">[(avg. 132.5 deg. F supply water temperature for </w:t>
      </w:r>
      <w:r w:rsidR="00635B9F">
        <w:rPr>
          <w:rFonts w:cs="Arial"/>
          <w:sz w:val="20"/>
          <w:szCs w:val="20"/>
        </w:rPr>
        <w:t>HA10</w:t>
      </w:r>
      <w:r w:rsidRPr="000C0B06">
        <w:rPr>
          <w:rFonts w:cs="Arial"/>
          <w:sz w:val="20"/>
          <w:szCs w:val="20"/>
        </w:rPr>
        <w:t>) - (avg. 5 deg. F lower supply &amp; return water piping temperature) - (avg. 60 deg. F supply &amp; return water piping surroundings temperature)]/[(avg. 135 deg. F supply water temperature for base case) - (avg. 5 deg. F lower supply &amp; return water piping surface temperature</w:t>
      </w:r>
      <w:r w:rsidR="00F81A9C">
        <w:rPr>
          <w:rFonts w:cs="Arial"/>
          <w:sz w:val="20"/>
          <w:szCs w:val="20"/>
        </w:rPr>
        <w:t xml:space="preserve"> than supply water temperature</w:t>
      </w:r>
      <w:r w:rsidRPr="000C0B06">
        <w:rPr>
          <w:rFonts w:cs="Arial"/>
          <w:sz w:val="20"/>
          <w:szCs w:val="20"/>
        </w:rPr>
        <w:t>) - (avg. 60 deg. F supply &amp; return water piping surroundings temperature)]}</w:t>
      </w:r>
    </w:p>
    <w:p w14:paraId="7DEFCCE0" w14:textId="77777777" w:rsidR="00D827A2" w:rsidRDefault="00D827A2" w:rsidP="005123E9">
      <w:pPr>
        <w:ind w:left="360"/>
        <w:rPr>
          <w:rFonts w:cs="Arial"/>
          <w:sz w:val="20"/>
          <w:szCs w:val="20"/>
        </w:rPr>
      </w:pPr>
    </w:p>
    <w:p w14:paraId="7DEFCCE1" w14:textId="37849A3E" w:rsidR="00D827A2" w:rsidRDefault="00D827A2" w:rsidP="005123E9">
      <w:pPr>
        <w:ind w:left="360"/>
        <w:rPr>
          <w:rFonts w:cs="Arial"/>
          <w:sz w:val="20"/>
          <w:szCs w:val="20"/>
        </w:rPr>
      </w:pPr>
      <w:r w:rsidRPr="006A7F76">
        <w:rPr>
          <w:rFonts w:cs="Arial"/>
          <w:b/>
          <w:sz w:val="20"/>
          <w:szCs w:val="20"/>
        </w:rPr>
        <w:lastRenderedPageBreak/>
        <w:t xml:space="preserve">Avg. 184.0 </w:t>
      </w:r>
      <w:proofErr w:type="spellStart"/>
      <w:r w:rsidRPr="006A7F76">
        <w:rPr>
          <w:rFonts w:cs="Arial"/>
          <w:b/>
          <w:sz w:val="20"/>
          <w:szCs w:val="20"/>
        </w:rPr>
        <w:t>therms</w:t>
      </w:r>
      <w:proofErr w:type="spellEnd"/>
      <w:r w:rsidRPr="006A7F76">
        <w:rPr>
          <w:rFonts w:cs="Arial"/>
          <w:b/>
          <w:sz w:val="20"/>
          <w:szCs w:val="20"/>
        </w:rPr>
        <w:t>/multifamily dwelling unit/</w:t>
      </w:r>
      <w:proofErr w:type="spellStart"/>
      <w:r w:rsidRPr="006A7F76">
        <w:rPr>
          <w:rFonts w:cs="Arial"/>
          <w:b/>
          <w:sz w:val="20"/>
          <w:szCs w:val="20"/>
        </w:rPr>
        <w:t>yr</w:t>
      </w:r>
      <w:proofErr w:type="spellEnd"/>
      <w:r w:rsidRPr="006A7F76">
        <w:rPr>
          <w:rFonts w:cs="Arial"/>
          <w:b/>
          <w:sz w:val="20"/>
          <w:szCs w:val="20"/>
        </w:rPr>
        <w:t xml:space="preserve"> water h</w:t>
      </w:r>
      <w:r w:rsidR="00884BAD">
        <w:rPr>
          <w:rFonts w:cs="Arial"/>
          <w:b/>
          <w:sz w:val="20"/>
          <w:szCs w:val="20"/>
        </w:rPr>
        <w:t xml:space="preserve">eating gas consumption for </w:t>
      </w:r>
      <w:r w:rsidR="00635B9F">
        <w:rPr>
          <w:rFonts w:cs="Arial"/>
          <w:b/>
          <w:sz w:val="20"/>
          <w:szCs w:val="20"/>
        </w:rPr>
        <w:t>HA10</w:t>
      </w:r>
      <w:r w:rsidR="00884BAD">
        <w:rPr>
          <w:rFonts w:cs="Arial"/>
          <w:b/>
          <w:sz w:val="20"/>
          <w:szCs w:val="20"/>
        </w:rPr>
        <w:t xml:space="preserve"> </w:t>
      </w:r>
      <w:r w:rsidRPr="006A7F76">
        <w:rPr>
          <w:rFonts w:cs="Arial"/>
          <w:b/>
          <w:sz w:val="20"/>
          <w:szCs w:val="20"/>
        </w:rPr>
        <w:t xml:space="preserve">“temperature modulation” </w:t>
      </w:r>
      <w:r w:rsidR="00884BAD">
        <w:rPr>
          <w:rFonts w:cs="Arial"/>
          <w:b/>
          <w:sz w:val="20"/>
          <w:szCs w:val="20"/>
        </w:rPr>
        <w:t xml:space="preserve">boiler </w:t>
      </w:r>
      <w:r w:rsidRPr="006A7F76">
        <w:rPr>
          <w:rFonts w:cs="Arial"/>
          <w:b/>
          <w:sz w:val="20"/>
          <w:szCs w:val="20"/>
        </w:rPr>
        <w:t>controller =</w:t>
      </w:r>
      <w:r w:rsidRPr="000C0B06">
        <w:rPr>
          <w:rFonts w:cs="Arial"/>
          <w:sz w:val="20"/>
          <w:szCs w:val="20"/>
        </w:rPr>
        <w:t xml:space="preserve"> </w:t>
      </w:r>
      <w:r>
        <w:rPr>
          <w:rFonts w:cs="Arial"/>
          <w:sz w:val="20"/>
          <w:szCs w:val="20"/>
        </w:rPr>
        <w:t>[</w:t>
      </w:r>
      <w:r w:rsidRPr="000C0B06">
        <w:rPr>
          <w:rFonts w:cs="Arial"/>
          <w:sz w:val="20"/>
          <w:szCs w:val="20"/>
        </w:rPr>
        <w:t xml:space="preserve">(avg. 186 </w:t>
      </w:r>
      <w:proofErr w:type="spellStart"/>
      <w:r w:rsidRPr="000C0B06">
        <w:rPr>
          <w:rFonts w:cs="Arial"/>
          <w:sz w:val="20"/>
          <w:szCs w:val="20"/>
        </w:rPr>
        <w:t>therms</w:t>
      </w:r>
      <w:proofErr w:type="spellEnd"/>
      <w:r w:rsidRPr="000C0B06">
        <w:rPr>
          <w:rFonts w:cs="Arial"/>
          <w:sz w:val="20"/>
          <w:szCs w:val="20"/>
        </w:rPr>
        <w:t>/multifamily dwelling unit/</w:t>
      </w:r>
      <w:proofErr w:type="spellStart"/>
      <w:r w:rsidRPr="000C0B06">
        <w:rPr>
          <w:rFonts w:cs="Arial"/>
          <w:sz w:val="20"/>
          <w:szCs w:val="20"/>
        </w:rPr>
        <w:t>yr</w:t>
      </w:r>
      <w:proofErr w:type="spellEnd"/>
      <w:r w:rsidRPr="000C0B06">
        <w:rPr>
          <w:rFonts w:cs="Arial"/>
          <w:sz w:val="20"/>
          <w:szCs w:val="20"/>
        </w:rPr>
        <w:t xml:space="preserve"> water heating gas consumption </w:t>
      </w:r>
      <w:r w:rsidR="009D2D38">
        <w:rPr>
          <w:rFonts w:cs="Arial"/>
          <w:sz w:val="20"/>
          <w:szCs w:val="20"/>
        </w:rPr>
        <w:t>for</w:t>
      </w:r>
      <w:r w:rsidRPr="000C0B06">
        <w:rPr>
          <w:rFonts w:cs="Arial"/>
          <w:sz w:val="20"/>
          <w:szCs w:val="20"/>
        </w:rPr>
        <w:t xml:space="preserve"> base case)</w:t>
      </w:r>
      <w:r w:rsidR="005112C1">
        <w:rPr>
          <w:rFonts w:cs="Arial"/>
          <w:sz w:val="20"/>
          <w:szCs w:val="20"/>
        </w:rPr>
        <w:t xml:space="preserve"> -</w:t>
      </w:r>
      <w:r>
        <w:rPr>
          <w:rFonts w:cs="Arial"/>
          <w:sz w:val="20"/>
          <w:szCs w:val="20"/>
        </w:rPr>
        <w:t xml:space="preserve"> (a</w:t>
      </w:r>
      <w:r w:rsidRPr="000C0B06">
        <w:rPr>
          <w:rFonts w:cs="Arial"/>
          <w:sz w:val="20"/>
          <w:szCs w:val="20"/>
        </w:rPr>
        <w:t xml:space="preserve">vg. </w:t>
      </w:r>
      <w:r w:rsidR="009D2D38" w:rsidRPr="000C0B06">
        <w:rPr>
          <w:rFonts w:cs="Arial"/>
          <w:sz w:val="20"/>
          <w:szCs w:val="20"/>
        </w:rPr>
        <w:t xml:space="preserve">2.0 </w:t>
      </w:r>
      <w:proofErr w:type="spellStart"/>
      <w:r w:rsidR="009D2D38" w:rsidRPr="000C0B06">
        <w:rPr>
          <w:rFonts w:cs="Arial"/>
          <w:sz w:val="20"/>
          <w:szCs w:val="20"/>
        </w:rPr>
        <w:t>therms</w:t>
      </w:r>
      <w:proofErr w:type="spellEnd"/>
      <w:r w:rsidR="009D2D38" w:rsidRPr="000C0B06">
        <w:rPr>
          <w:rFonts w:cs="Arial"/>
          <w:sz w:val="20"/>
          <w:szCs w:val="20"/>
        </w:rPr>
        <w:t>/multifamily dwelling unit/</w:t>
      </w:r>
      <w:proofErr w:type="spellStart"/>
      <w:r w:rsidR="009D2D38" w:rsidRPr="000C0B06">
        <w:rPr>
          <w:rFonts w:cs="Arial"/>
          <w:sz w:val="20"/>
          <w:szCs w:val="20"/>
        </w:rPr>
        <w:t>yr</w:t>
      </w:r>
      <w:proofErr w:type="spellEnd"/>
      <w:r w:rsidR="009D2D38" w:rsidRPr="000C0B06">
        <w:rPr>
          <w:rFonts w:cs="Arial"/>
          <w:sz w:val="20"/>
          <w:szCs w:val="20"/>
        </w:rPr>
        <w:t xml:space="preserve"> </w:t>
      </w:r>
      <w:r w:rsidR="009D2D38">
        <w:rPr>
          <w:rFonts w:cs="Arial"/>
          <w:sz w:val="20"/>
          <w:szCs w:val="20"/>
        </w:rPr>
        <w:t xml:space="preserve">water heating </w:t>
      </w:r>
      <w:r w:rsidR="00884BAD">
        <w:rPr>
          <w:rFonts w:cs="Arial"/>
          <w:sz w:val="20"/>
          <w:szCs w:val="20"/>
        </w:rPr>
        <w:t xml:space="preserve">gas savings for </w:t>
      </w:r>
      <w:r w:rsidR="00635B9F">
        <w:rPr>
          <w:rFonts w:cs="Arial"/>
          <w:sz w:val="20"/>
          <w:szCs w:val="20"/>
        </w:rPr>
        <w:t>HA10</w:t>
      </w:r>
      <w:r w:rsidR="00884BAD">
        <w:rPr>
          <w:rFonts w:cs="Arial"/>
          <w:sz w:val="20"/>
          <w:szCs w:val="20"/>
        </w:rPr>
        <w:t xml:space="preserve"> </w:t>
      </w:r>
      <w:r w:rsidR="009D2D38" w:rsidRPr="000C0B06">
        <w:rPr>
          <w:rFonts w:cs="Arial"/>
          <w:sz w:val="20"/>
          <w:szCs w:val="20"/>
        </w:rPr>
        <w:t xml:space="preserve">“temperature modulation” </w:t>
      </w:r>
      <w:r w:rsidR="00884BAD">
        <w:rPr>
          <w:rFonts w:cs="Arial"/>
          <w:sz w:val="20"/>
          <w:szCs w:val="20"/>
        </w:rPr>
        <w:t xml:space="preserve">boiler </w:t>
      </w:r>
      <w:r w:rsidR="009D2D38" w:rsidRPr="000C0B06">
        <w:rPr>
          <w:rFonts w:cs="Arial"/>
          <w:sz w:val="20"/>
          <w:szCs w:val="20"/>
        </w:rPr>
        <w:t>controller</w:t>
      </w:r>
      <w:r w:rsidR="009D2D38">
        <w:rPr>
          <w:rFonts w:cs="Arial"/>
          <w:sz w:val="20"/>
          <w:szCs w:val="20"/>
        </w:rPr>
        <w:t>)]</w:t>
      </w:r>
    </w:p>
    <w:p w14:paraId="7DEFCCE7" w14:textId="6E3BC50E" w:rsidR="00BB72C5" w:rsidRDefault="00BB72C5" w:rsidP="00BB72C5">
      <w:pPr>
        <w:pStyle w:val="Heading2"/>
      </w:pPr>
      <w:bookmarkStart w:id="85" w:name="_Toc481419698"/>
      <w:r>
        <w:t>2.3.3</w:t>
      </w:r>
      <w:r w:rsidRPr="00222FC1">
        <w:t xml:space="preserve">. Gas Energy Savings </w:t>
      </w:r>
      <w:r>
        <w:t>Estimate</w:t>
      </w:r>
      <w:r w:rsidRPr="00222FC1">
        <w:t xml:space="preserve"> for </w:t>
      </w:r>
      <w:r w:rsidR="00635B9F">
        <w:t>HA13</w:t>
      </w:r>
      <w:r>
        <w:t xml:space="preserve"> “Temperature Modulation” </w:t>
      </w:r>
      <w:r w:rsidR="005B6107">
        <w:t xml:space="preserve">Boiler </w:t>
      </w:r>
      <w:r w:rsidR="00BB4C31">
        <w:t xml:space="preserve">Controller for </w:t>
      </w:r>
      <w:r>
        <w:t>Lodging Facilities</w:t>
      </w:r>
      <w:bookmarkEnd w:id="85"/>
    </w:p>
    <w:p w14:paraId="7DEFCCE8" w14:textId="20FB0ED8" w:rsidR="00BB72C5" w:rsidRPr="000C0B06" w:rsidRDefault="00BB72C5" w:rsidP="00BB72C5">
      <w:pPr>
        <w:ind w:left="360"/>
        <w:rPr>
          <w:rFonts w:cs="Arial"/>
          <w:sz w:val="20"/>
          <w:szCs w:val="20"/>
        </w:rPr>
      </w:pPr>
      <w:r w:rsidRPr="00D111F6">
        <w:rPr>
          <w:rFonts w:cs="Arial"/>
          <w:b/>
          <w:sz w:val="20"/>
          <w:szCs w:val="20"/>
        </w:rPr>
        <w:t xml:space="preserve">Avg. </w:t>
      </w:r>
      <w:r w:rsidR="00615572" w:rsidRPr="00D111F6">
        <w:rPr>
          <w:rFonts w:cs="Arial"/>
          <w:b/>
          <w:sz w:val="20"/>
          <w:szCs w:val="20"/>
        </w:rPr>
        <w:t>1.2</w:t>
      </w:r>
      <w:r w:rsidRPr="00D111F6">
        <w:rPr>
          <w:rFonts w:cs="Arial"/>
          <w:b/>
          <w:sz w:val="20"/>
          <w:szCs w:val="20"/>
        </w:rPr>
        <w:t xml:space="preserve"> </w:t>
      </w:r>
      <w:proofErr w:type="spellStart"/>
      <w:r w:rsidRPr="00D111F6">
        <w:rPr>
          <w:rFonts w:cs="Arial"/>
          <w:b/>
          <w:sz w:val="20"/>
          <w:szCs w:val="20"/>
        </w:rPr>
        <w:t>therms</w:t>
      </w:r>
      <w:proofErr w:type="spellEnd"/>
      <w:r w:rsidRPr="00D111F6">
        <w:rPr>
          <w:rFonts w:cs="Arial"/>
          <w:b/>
          <w:sz w:val="20"/>
          <w:szCs w:val="20"/>
        </w:rPr>
        <w:t xml:space="preserve">/lodging guest room gas savings for </w:t>
      </w:r>
      <w:r w:rsidR="00635B9F">
        <w:rPr>
          <w:rFonts w:cs="Arial"/>
          <w:b/>
          <w:sz w:val="20"/>
          <w:szCs w:val="20"/>
        </w:rPr>
        <w:t>HA13</w:t>
      </w:r>
      <w:r w:rsidR="005B6107">
        <w:rPr>
          <w:rFonts w:cs="Arial"/>
          <w:b/>
          <w:sz w:val="20"/>
          <w:szCs w:val="20"/>
        </w:rPr>
        <w:t xml:space="preserve"> </w:t>
      </w:r>
      <w:r w:rsidRPr="00D111F6">
        <w:rPr>
          <w:rFonts w:cs="Arial"/>
          <w:b/>
          <w:sz w:val="20"/>
          <w:szCs w:val="20"/>
        </w:rPr>
        <w:t xml:space="preserve">“temperature modulation” </w:t>
      </w:r>
      <w:r w:rsidR="005B6107">
        <w:rPr>
          <w:rFonts w:cs="Arial"/>
          <w:b/>
          <w:sz w:val="20"/>
          <w:szCs w:val="20"/>
        </w:rPr>
        <w:t xml:space="preserve">boiler </w:t>
      </w:r>
      <w:r w:rsidRPr="00D111F6">
        <w:rPr>
          <w:rFonts w:cs="Arial"/>
          <w:b/>
          <w:sz w:val="20"/>
          <w:szCs w:val="20"/>
        </w:rPr>
        <w:t>controller =</w:t>
      </w:r>
      <w:r w:rsidRPr="000C0B06">
        <w:rPr>
          <w:rFonts w:cs="Arial"/>
          <w:sz w:val="20"/>
          <w:szCs w:val="20"/>
        </w:rPr>
        <w:t xml:space="preserve"> </w:t>
      </w:r>
      <w:r>
        <w:rPr>
          <w:rFonts w:cs="Arial"/>
          <w:sz w:val="20"/>
          <w:szCs w:val="20"/>
        </w:rPr>
        <w:t>(avg. 11</w:t>
      </w:r>
      <w:r w:rsidRPr="000C0B06">
        <w:rPr>
          <w:rFonts w:cs="Arial"/>
          <w:sz w:val="20"/>
          <w:szCs w:val="20"/>
        </w:rPr>
        <w:t xml:space="preserve">6 </w:t>
      </w:r>
      <w:proofErr w:type="spellStart"/>
      <w:r w:rsidRPr="000C0B06">
        <w:rPr>
          <w:rFonts w:cs="Arial"/>
          <w:sz w:val="20"/>
          <w:szCs w:val="20"/>
        </w:rPr>
        <w:t>therms</w:t>
      </w:r>
      <w:proofErr w:type="spellEnd"/>
      <w:r w:rsidRPr="000C0B06">
        <w:rPr>
          <w:rFonts w:cs="Arial"/>
          <w:sz w:val="20"/>
          <w:szCs w:val="20"/>
        </w:rPr>
        <w:t>/</w:t>
      </w:r>
      <w:r>
        <w:rPr>
          <w:rFonts w:cs="Arial"/>
          <w:sz w:val="20"/>
          <w:szCs w:val="20"/>
        </w:rPr>
        <w:t>lodging guest room</w:t>
      </w:r>
      <w:r w:rsidRPr="000C0B06">
        <w:rPr>
          <w:rFonts w:cs="Arial"/>
          <w:sz w:val="20"/>
          <w:szCs w:val="20"/>
        </w:rPr>
        <w:t>/</w:t>
      </w:r>
      <w:proofErr w:type="spellStart"/>
      <w:r w:rsidRPr="000C0B06">
        <w:rPr>
          <w:rFonts w:cs="Arial"/>
          <w:sz w:val="20"/>
          <w:szCs w:val="20"/>
        </w:rPr>
        <w:t>yr</w:t>
      </w:r>
      <w:proofErr w:type="spellEnd"/>
      <w:r w:rsidRPr="000C0B06">
        <w:rPr>
          <w:rFonts w:cs="Arial"/>
          <w:sz w:val="20"/>
          <w:szCs w:val="20"/>
        </w:rPr>
        <w:t xml:space="preserve"> water heating gas consu</w:t>
      </w:r>
      <w:r>
        <w:rPr>
          <w:rFonts w:cs="Arial"/>
          <w:sz w:val="20"/>
          <w:szCs w:val="20"/>
        </w:rPr>
        <w:t xml:space="preserve">mption for </w:t>
      </w:r>
      <w:r w:rsidR="007458B2">
        <w:rPr>
          <w:rFonts w:cs="Arial"/>
          <w:sz w:val="20"/>
          <w:szCs w:val="20"/>
        </w:rPr>
        <w:t>base case)*</w:t>
      </w:r>
      <w:r w:rsidR="007458B2" w:rsidRPr="000C0B06">
        <w:rPr>
          <w:rFonts w:cs="Arial"/>
          <w:sz w:val="20"/>
          <w:szCs w:val="20"/>
        </w:rPr>
        <w:t xml:space="preserve">(avg. </w:t>
      </w:r>
      <w:r w:rsidR="007458B2" w:rsidRPr="000C0B06">
        <w:rPr>
          <w:sz w:val="20"/>
          <w:szCs w:val="20"/>
        </w:rPr>
        <w:t>30%</w:t>
      </w:r>
      <w:r w:rsidR="007458B2" w:rsidRPr="000C0B06">
        <w:rPr>
          <w:rFonts w:cs="Arial"/>
          <w:sz w:val="20"/>
          <w:szCs w:val="20"/>
        </w:rPr>
        <w:t xml:space="preserve"> water heating gas consumption for supply &amp; return water piping heat losses)</w:t>
      </w:r>
      <w:r w:rsidR="007458B2">
        <w:rPr>
          <w:rFonts w:cs="Arial"/>
          <w:sz w:val="20"/>
          <w:szCs w:val="20"/>
        </w:rPr>
        <w:t xml:space="preserve">*{1 - </w:t>
      </w:r>
      <w:r w:rsidR="007458B2" w:rsidRPr="000C0B06">
        <w:rPr>
          <w:rFonts w:cs="Arial"/>
          <w:sz w:val="20"/>
          <w:szCs w:val="20"/>
        </w:rPr>
        <w:t xml:space="preserve">[(avg. 132.5 deg. F supply water temperature for </w:t>
      </w:r>
      <w:r w:rsidR="00635B9F">
        <w:rPr>
          <w:rFonts w:cs="Arial"/>
          <w:sz w:val="20"/>
          <w:szCs w:val="20"/>
        </w:rPr>
        <w:t>HA13</w:t>
      </w:r>
      <w:r w:rsidR="007458B2" w:rsidRPr="000C0B06">
        <w:rPr>
          <w:rFonts w:cs="Arial"/>
          <w:sz w:val="20"/>
          <w:szCs w:val="20"/>
        </w:rPr>
        <w:t>) - (avg. 5 deg. F lower supply &amp; return water piping temperature) - (avg. 60 deg. F supply &amp; return water piping surroundings temperature)]/[(avg. 135 deg. F supply water temperature for base case) - (avg. 5 deg. F lower supply &amp; return water piping surface temperature</w:t>
      </w:r>
      <w:r w:rsidR="007458B2">
        <w:rPr>
          <w:rFonts w:cs="Arial"/>
          <w:sz w:val="20"/>
          <w:szCs w:val="20"/>
        </w:rPr>
        <w:t xml:space="preserve"> than supply water temperature</w:t>
      </w:r>
      <w:r w:rsidR="007458B2" w:rsidRPr="000C0B06">
        <w:rPr>
          <w:rFonts w:cs="Arial"/>
          <w:sz w:val="20"/>
          <w:szCs w:val="20"/>
        </w:rPr>
        <w:t>) - (avg. 60 deg. F supply &amp; return water piping surroundings temperature)]}</w:t>
      </w:r>
    </w:p>
    <w:p w14:paraId="7DEFCCE9" w14:textId="77777777" w:rsidR="00BB72C5" w:rsidRDefault="00BB72C5" w:rsidP="00BB72C5">
      <w:pPr>
        <w:ind w:left="360"/>
        <w:rPr>
          <w:rFonts w:cs="Arial"/>
          <w:sz w:val="20"/>
          <w:szCs w:val="20"/>
        </w:rPr>
      </w:pPr>
    </w:p>
    <w:p w14:paraId="7DEFCCEA" w14:textId="5FB4B09B" w:rsidR="00BB72C5" w:rsidRDefault="00BB72C5" w:rsidP="00BB72C5">
      <w:pPr>
        <w:ind w:left="360"/>
        <w:rPr>
          <w:rFonts w:cs="Arial"/>
          <w:sz w:val="20"/>
          <w:szCs w:val="20"/>
        </w:rPr>
      </w:pPr>
      <w:r w:rsidRPr="00D111F6">
        <w:rPr>
          <w:rFonts w:cs="Arial"/>
          <w:b/>
          <w:sz w:val="20"/>
          <w:szCs w:val="20"/>
        </w:rPr>
        <w:t>Avg. 1</w:t>
      </w:r>
      <w:r w:rsidR="00615572" w:rsidRPr="00D111F6">
        <w:rPr>
          <w:rFonts w:cs="Arial"/>
          <w:b/>
          <w:sz w:val="20"/>
          <w:szCs w:val="20"/>
        </w:rPr>
        <w:t>14.8</w:t>
      </w:r>
      <w:r w:rsidRPr="00D111F6">
        <w:rPr>
          <w:rFonts w:cs="Arial"/>
          <w:b/>
          <w:sz w:val="20"/>
          <w:szCs w:val="20"/>
        </w:rPr>
        <w:t xml:space="preserve"> </w:t>
      </w:r>
      <w:proofErr w:type="spellStart"/>
      <w:r w:rsidR="007458B2">
        <w:rPr>
          <w:rFonts w:cs="Arial"/>
          <w:b/>
          <w:sz w:val="20"/>
          <w:szCs w:val="20"/>
        </w:rPr>
        <w:t>therms</w:t>
      </w:r>
      <w:proofErr w:type="spellEnd"/>
      <w:r w:rsidR="007458B2">
        <w:rPr>
          <w:rFonts w:cs="Arial"/>
          <w:b/>
          <w:sz w:val="20"/>
          <w:szCs w:val="20"/>
        </w:rPr>
        <w:t>/lodging guest room/</w:t>
      </w:r>
      <w:proofErr w:type="spellStart"/>
      <w:r w:rsidR="007458B2">
        <w:rPr>
          <w:rFonts w:cs="Arial"/>
          <w:b/>
          <w:sz w:val="20"/>
          <w:szCs w:val="20"/>
        </w:rPr>
        <w:t>yr</w:t>
      </w:r>
      <w:proofErr w:type="spellEnd"/>
      <w:r w:rsidRPr="00D111F6">
        <w:rPr>
          <w:rFonts w:cs="Arial"/>
          <w:b/>
          <w:sz w:val="20"/>
          <w:szCs w:val="20"/>
        </w:rPr>
        <w:t xml:space="preserve"> wat</w:t>
      </w:r>
      <w:r w:rsidR="007458B2">
        <w:rPr>
          <w:rFonts w:cs="Arial"/>
          <w:b/>
          <w:sz w:val="20"/>
          <w:szCs w:val="20"/>
        </w:rPr>
        <w:t xml:space="preserve">er heating gas consumption for </w:t>
      </w:r>
      <w:r w:rsidR="00635B9F">
        <w:rPr>
          <w:rFonts w:cs="Arial"/>
          <w:b/>
          <w:sz w:val="20"/>
          <w:szCs w:val="20"/>
        </w:rPr>
        <w:t>HA13</w:t>
      </w:r>
      <w:r w:rsidR="005B6107">
        <w:rPr>
          <w:rFonts w:cs="Arial"/>
          <w:b/>
          <w:sz w:val="20"/>
          <w:szCs w:val="20"/>
        </w:rPr>
        <w:t xml:space="preserve"> </w:t>
      </w:r>
      <w:r w:rsidRPr="00D111F6">
        <w:rPr>
          <w:rFonts w:cs="Arial"/>
          <w:b/>
          <w:sz w:val="20"/>
          <w:szCs w:val="20"/>
        </w:rPr>
        <w:t xml:space="preserve">“temperature modulation” </w:t>
      </w:r>
      <w:r w:rsidR="005B6107">
        <w:rPr>
          <w:rFonts w:cs="Arial"/>
          <w:b/>
          <w:sz w:val="20"/>
          <w:szCs w:val="20"/>
        </w:rPr>
        <w:t xml:space="preserve">boiler </w:t>
      </w:r>
      <w:r w:rsidRPr="00D111F6">
        <w:rPr>
          <w:rFonts w:cs="Arial"/>
          <w:b/>
          <w:sz w:val="20"/>
          <w:szCs w:val="20"/>
        </w:rPr>
        <w:t>controller =</w:t>
      </w:r>
      <w:r w:rsidRPr="000C0B06">
        <w:rPr>
          <w:rFonts w:cs="Arial"/>
          <w:sz w:val="20"/>
          <w:szCs w:val="20"/>
        </w:rPr>
        <w:t xml:space="preserve"> </w:t>
      </w:r>
      <w:r w:rsidR="00615572">
        <w:rPr>
          <w:rFonts w:cs="Arial"/>
          <w:sz w:val="20"/>
          <w:szCs w:val="20"/>
        </w:rPr>
        <w:t>(avg. 11</w:t>
      </w:r>
      <w:r w:rsidRPr="000C0B06">
        <w:rPr>
          <w:rFonts w:cs="Arial"/>
          <w:sz w:val="20"/>
          <w:szCs w:val="20"/>
        </w:rPr>
        <w:t xml:space="preserve">6 </w:t>
      </w:r>
      <w:proofErr w:type="spellStart"/>
      <w:r w:rsidR="00615572" w:rsidRPr="000C0B06">
        <w:rPr>
          <w:rFonts w:cs="Arial"/>
          <w:sz w:val="20"/>
          <w:szCs w:val="20"/>
        </w:rPr>
        <w:t>therms</w:t>
      </w:r>
      <w:proofErr w:type="spellEnd"/>
      <w:r w:rsidR="00615572" w:rsidRPr="000C0B06">
        <w:rPr>
          <w:rFonts w:cs="Arial"/>
          <w:sz w:val="20"/>
          <w:szCs w:val="20"/>
        </w:rPr>
        <w:t>/</w:t>
      </w:r>
      <w:r w:rsidR="00615572">
        <w:rPr>
          <w:rFonts w:cs="Arial"/>
          <w:sz w:val="20"/>
          <w:szCs w:val="20"/>
        </w:rPr>
        <w:t>lodging guest room</w:t>
      </w:r>
      <w:r w:rsidR="00615572" w:rsidRPr="000C0B06">
        <w:rPr>
          <w:rFonts w:cs="Arial"/>
          <w:sz w:val="20"/>
          <w:szCs w:val="20"/>
        </w:rPr>
        <w:t>/</w:t>
      </w:r>
      <w:proofErr w:type="spellStart"/>
      <w:r w:rsidR="00615572" w:rsidRPr="000C0B06">
        <w:rPr>
          <w:rFonts w:cs="Arial"/>
          <w:sz w:val="20"/>
          <w:szCs w:val="20"/>
        </w:rPr>
        <w:t>yr</w:t>
      </w:r>
      <w:proofErr w:type="spellEnd"/>
      <w:r w:rsidRPr="000C0B06">
        <w:rPr>
          <w:rFonts w:cs="Arial"/>
          <w:sz w:val="20"/>
          <w:szCs w:val="20"/>
        </w:rPr>
        <w:t xml:space="preserve"> water heating gas consumption </w:t>
      </w:r>
      <w:r>
        <w:rPr>
          <w:rFonts w:cs="Arial"/>
          <w:sz w:val="20"/>
          <w:szCs w:val="20"/>
        </w:rPr>
        <w:t>for</w:t>
      </w:r>
      <w:r w:rsidRPr="000C0B06">
        <w:rPr>
          <w:rFonts w:cs="Arial"/>
          <w:sz w:val="20"/>
          <w:szCs w:val="20"/>
        </w:rPr>
        <w:t xml:space="preserve"> base case)</w:t>
      </w:r>
      <w:r w:rsidR="007458B2">
        <w:rPr>
          <w:rFonts w:cs="Arial"/>
          <w:sz w:val="20"/>
          <w:szCs w:val="20"/>
        </w:rPr>
        <w:t xml:space="preserve"> -</w:t>
      </w:r>
      <w:r>
        <w:rPr>
          <w:rFonts w:cs="Arial"/>
          <w:sz w:val="20"/>
          <w:szCs w:val="20"/>
        </w:rPr>
        <w:t xml:space="preserve"> (a</w:t>
      </w:r>
      <w:r w:rsidRPr="000C0B06">
        <w:rPr>
          <w:rFonts w:cs="Arial"/>
          <w:sz w:val="20"/>
          <w:szCs w:val="20"/>
        </w:rPr>
        <w:t xml:space="preserve">vg. </w:t>
      </w:r>
      <w:r w:rsidR="00615572">
        <w:rPr>
          <w:rFonts w:cs="Arial"/>
          <w:sz w:val="20"/>
          <w:szCs w:val="20"/>
        </w:rPr>
        <w:t>1.2</w:t>
      </w:r>
      <w:r w:rsidRPr="000C0B06">
        <w:rPr>
          <w:rFonts w:cs="Arial"/>
          <w:sz w:val="20"/>
          <w:szCs w:val="20"/>
        </w:rPr>
        <w:t xml:space="preserve"> </w:t>
      </w:r>
      <w:proofErr w:type="spellStart"/>
      <w:r w:rsidR="00615572" w:rsidRPr="000C0B06">
        <w:rPr>
          <w:rFonts w:cs="Arial"/>
          <w:sz w:val="20"/>
          <w:szCs w:val="20"/>
        </w:rPr>
        <w:t>therms</w:t>
      </w:r>
      <w:proofErr w:type="spellEnd"/>
      <w:r w:rsidR="00615572" w:rsidRPr="000C0B06">
        <w:rPr>
          <w:rFonts w:cs="Arial"/>
          <w:sz w:val="20"/>
          <w:szCs w:val="20"/>
        </w:rPr>
        <w:t>/</w:t>
      </w:r>
      <w:r w:rsidR="00615572">
        <w:rPr>
          <w:rFonts w:cs="Arial"/>
          <w:sz w:val="20"/>
          <w:szCs w:val="20"/>
        </w:rPr>
        <w:t>lodging guest room</w:t>
      </w:r>
      <w:r w:rsidR="00615572" w:rsidRPr="000C0B06">
        <w:rPr>
          <w:rFonts w:cs="Arial"/>
          <w:sz w:val="20"/>
          <w:szCs w:val="20"/>
        </w:rPr>
        <w:t>/</w:t>
      </w:r>
      <w:proofErr w:type="spellStart"/>
      <w:r w:rsidR="00615572" w:rsidRPr="000C0B06">
        <w:rPr>
          <w:rFonts w:cs="Arial"/>
          <w:sz w:val="20"/>
          <w:szCs w:val="20"/>
        </w:rPr>
        <w:t>yr</w:t>
      </w:r>
      <w:proofErr w:type="spellEnd"/>
      <w:r w:rsidRPr="000C0B06">
        <w:rPr>
          <w:rFonts w:cs="Arial"/>
          <w:sz w:val="20"/>
          <w:szCs w:val="20"/>
        </w:rPr>
        <w:t xml:space="preserve"> </w:t>
      </w:r>
      <w:r>
        <w:rPr>
          <w:rFonts w:cs="Arial"/>
          <w:sz w:val="20"/>
          <w:szCs w:val="20"/>
        </w:rPr>
        <w:t xml:space="preserve">water heating </w:t>
      </w:r>
      <w:r w:rsidRPr="000C0B06">
        <w:rPr>
          <w:rFonts w:cs="Arial"/>
          <w:sz w:val="20"/>
          <w:szCs w:val="20"/>
        </w:rPr>
        <w:t>gas savings for S</w:t>
      </w:r>
      <w:r w:rsidR="00615572">
        <w:rPr>
          <w:rFonts w:cs="Arial"/>
          <w:sz w:val="20"/>
          <w:szCs w:val="20"/>
        </w:rPr>
        <w:t>xx3</w:t>
      </w:r>
      <w:r w:rsidRPr="000C0B06">
        <w:rPr>
          <w:rFonts w:cs="Arial"/>
          <w:sz w:val="20"/>
          <w:szCs w:val="20"/>
        </w:rPr>
        <w:t xml:space="preserve"> “temperature modulation”</w:t>
      </w:r>
      <w:r w:rsidR="005B6107">
        <w:rPr>
          <w:rFonts w:cs="Arial"/>
          <w:sz w:val="20"/>
          <w:szCs w:val="20"/>
        </w:rPr>
        <w:t xml:space="preserve"> boiler</w:t>
      </w:r>
      <w:r w:rsidRPr="000C0B06">
        <w:rPr>
          <w:rFonts w:cs="Arial"/>
          <w:sz w:val="20"/>
          <w:szCs w:val="20"/>
        </w:rPr>
        <w:t xml:space="preserve"> controller</w:t>
      </w:r>
      <w:r w:rsidR="007458B2">
        <w:rPr>
          <w:rFonts w:cs="Arial"/>
          <w:sz w:val="20"/>
          <w:szCs w:val="20"/>
        </w:rPr>
        <w:t>)</w:t>
      </w:r>
    </w:p>
    <w:p w14:paraId="7DEFCCEF" w14:textId="77777777" w:rsidR="00B7164C" w:rsidRPr="00576E4B" w:rsidRDefault="00C069A2" w:rsidP="00576E4B">
      <w:pPr>
        <w:pStyle w:val="Heading1"/>
      </w:pPr>
      <w:bookmarkStart w:id="86" w:name="_Toc304800214"/>
      <w:bookmarkStart w:id="87" w:name="_Toc324318368"/>
      <w:bookmarkStart w:id="88" w:name="_Toc324340497"/>
      <w:bookmarkStart w:id="89" w:name="_Toc481419699"/>
      <w:proofErr w:type="gramStart"/>
      <w:r w:rsidRPr="00576E4B">
        <w:t>Section 3</w:t>
      </w:r>
      <w:r w:rsidR="00895469">
        <w:t>.</w:t>
      </w:r>
      <w:proofErr w:type="gramEnd"/>
      <w:r w:rsidRPr="00576E4B">
        <w:t xml:space="preserve"> Load Shapes</w:t>
      </w:r>
      <w:bookmarkEnd w:id="86"/>
      <w:bookmarkEnd w:id="87"/>
      <w:bookmarkEnd w:id="88"/>
      <w:bookmarkEnd w:id="89"/>
      <w:r w:rsidR="00844B27" w:rsidRPr="00576E4B">
        <w:t xml:space="preserve"> </w:t>
      </w:r>
    </w:p>
    <w:p w14:paraId="7DEFCCF0" w14:textId="0CB6C693" w:rsidR="00895469" w:rsidRPr="00087EA9" w:rsidRDefault="00895469" w:rsidP="00895469">
      <w:pPr>
        <w:rPr>
          <w:rFonts w:cs="Arial"/>
          <w:sz w:val="20"/>
          <w:szCs w:val="20"/>
        </w:rPr>
      </w:pPr>
      <w:bookmarkStart w:id="90" w:name="_Toc173742996"/>
      <w:bookmarkStart w:id="91" w:name="_Toc304800215"/>
      <w:bookmarkStart w:id="92" w:name="_Toc324318369"/>
      <w:bookmarkStart w:id="93" w:name="_Toc324340498"/>
      <w:r w:rsidRPr="00087EA9">
        <w:rPr>
          <w:rFonts w:cs="Arial"/>
          <w:sz w:val="20"/>
          <w:szCs w:val="20"/>
        </w:rPr>
        <w:t xml:space="preserve">The multifamily facilities </w:t>
      </w:r>
      <w:r w:rsidR="00087EA9">
        <w:rPr>
          <w:rFonts w:cs="Arial"/>
          <w:sz w:val="20"/>
          <w:szCs w:val="20"/>
        </w:rPr>
        <w:t xml:space="preserve">gas </w:t>
      </w:r>
      <w:r w:rsidRPr="00087EA9">
        <w:rPr>
          <w:rFonts w:cs="Arial"/>
          <w:sz w:val="20"/>
          <w:szCs w:val="20"/>
        </w:rPr>
        <w:t xml:space="preserve">load shapes are embedded in the Section 1.4.4.2 Assumption from </w:t>
      </w:r>
      <w:r w:rsidR="00820C1F">
        <w:rPr>
          <w:rFonts w:cs="Arial"/>
          <w:sz w:val="20"/>
          <w:szCs w:val="20"/>
        </w:rPr>
        <w:t xml:space="preserve">the </w:t>
      </w:r>
      <w:r w:rsidRPr="00087EA9">
        <w:rPr>
          <w:rFonts w:cs="Arial"/>
          <w:sz w:val="20"/>
          <w:szCs w:val="20"/>
        </w:rPr>
        <w:t>2009 California Residential Appliance Saturation Survey (RASS).</w:t>
      </w:r>
      <w:r w:rsidR="00820C1F" w:rsidRPr="00820C1F">
        <w:rPr>
          <w:rFonts w:cs="Arial"/>
          <w:sz w:val="20"/>
          <w:szCs w:val="20"/>
          <w:vertAlign w:val="superscript"/>
        </w:rPr>
        <w:fldChar w:fldCharType="begin"/>
      </w:r>
      <w:r w:rsidR="00820C1F" w:rsidRPr="00820C1F">
        <w:rPr>
          <w:rFonts w:cs="Arial"/>
          <w:sz w:val="20"/>
          <w:szCs w:val="20"/>
          <w:vertAlign w:val="superscript"/>
        </w:rPr>
        <w:instrText xml:space="preserve"> NOTEREF _Ref328487822 \h  \* MERGEFORMAT </w:instrText>
      </w:r>
      <w:r w:rsidR="00820C1F" w:rsidRPr="00820C1F">
        <w:rPr>
          <w:rFonts w:cs="Arial"/>
          <w:sz w:val="20"/>
          <w:szCs w:val="20"/>
          <w:vertAlign w:val="superscript"/>
        </w:rPr>
      </w:r>
      <w:r w:rsidR="00820C1F" w:rsidRPr="00820C1F">
        <w:rPr>
          <w:rFonts w:cs="Arial"/>
          <w:sz w:val="20"/>
          <w:szCs w:val="20"/>
          <w:vertAlign w:val="superscript"/>
        </w:rPr>
        <w:fldChar w:fldCharType="separate"/>
      </w:r>
      <w:r w:rsidR="00644DB4">
        <w:rPr>
          <w:rFonts w:cs="Arial"/>
          <w:sz w:val="20"/>
          <w:szCs w:val="20"/>
          <w:vertAlign w:val="superscript"/>
        </w:rPr>
        <w:t>5</w:t>
      </w:r>
      <w:r w:rsidR="00820C1F" w:rsidRPr="00820C1F">
        <w:rPr>
          <w:rFonts w:cs="Arial"/>
          <w:sz w:val="20"/>
          <w:szCs w:val="20"/>
          <w:vertAlign w:val="superscript"/>
        </w:rPr>
        <w:fldChar w:fldCharType="end"/>
      </w:r>
      <w:r w:rsidRPr="00087EA9">
        <w:rPr>
          <w:rFonts w:cs="Arial"/>
          <w:sz w:val="20"/>
          <w:szCs w:val="20"/>
        </w:rPr>
        <w:t xml:space="preserve">  The lodging facilities </w:t>
      </w:r>
      <w:r w:rsidR="00087EA9">
        <w:rPr>
          <w:rFonts w:cs="Arial"/>
          <w:sz w:val="20"/>
          <w:szCs w:val="20"/>
        </w:rPr>
        <w:t xml:space="preserve">gas </w:t>
      </w:r>
      <w:r w:rsidRPr="00087EA9">
        <w:rPr>
          <w:rFonts w:cs="Arial"/>
          <w:sz w:val="20"/>
          <w:szCs w:val="20"/>
        </w:rPr>
        <w:t>load shapes are embedded in the Section 1.4.4.4 Assumption from the 2006 California Commercial End-Use Survey (CEUS).</w:t>
      </w:r>
      <w:r w:rsidR="00820C1F" w:rsidRPr="00820C1F">
        <w:rPr>
          <w:rFonts w:cs="Arial"/>
          <w:sz w:val="20"/>
          <w:szCs w:val="20"/>
          <w:vertAlign w:val="superscript"/>
        </w:rPr>
        <w:fldChar w:fldCharType="begin"/>
      </w:r>
      <w:r w:rsidR="00820C1F" w:rsidRPr="00820C1F">
        <w:rPr>
          <w:rFonts w:cs="Arial"/>
          <w:sz w:val="20"/>
          <w:szCs w:val="20"/>
          <w:vertAlign w:val="superscript"/>
        </w:rPr>
        <w:instrText xml:space="preserve"> NOTEREF _Ref328414929 \h  \* MERGEFORMAT </w:instrText>
      </w:r>
      <w:r w:rsidR="00820C1F" w:rsidRPr="00820C1F">
        <w:rPr>
          <w:rFonts w:cs="Arial"/>
          <w:sz w:val="20"/>
          <w:szCs w:val="20"/>
          <w:vertAlign w:val="superscript"/>
        </w:rPr>
      </w:r>
      <w:r w:rsidR="00820C1F" w:rsidRPr="00820C1F">
        <w:rPr>
          <w:rFonts w:cs="Arial"/>
          <w:sz w:val="20"/>
          <w:szCs w:val="20"/>
          <w:vertAlign w:val="superscript"/>
        </w:rPr>
        <w:fldChar w:fldCharType="separate"/>
      </w:r>
      <w:r w:rsidR="00644DB4">
        <w:rPr>
          <w:rFonts w:cs="Arial"/>
          <w:sz w:val="20"/>
          <w:szCs w:val="20"/>
          <w:vertAlign w:val="superscript"/>
        </w:rPr>
        <w:t>7</w:t>
      </w:r>
      <w:r w:rsidR="00820C1F" w:rsidRPr="00820C1F">
        <w:rPr>
          <w:rFonts w:cs="Arial"/>
          <w:sz w:val="20"/>
          <w:szCs w:val="20"/>
          <w:vertAlign w:val="superscript"/>
        </w:rPr>
        <w:fldChar w:fldCharType="end"/>
      </w:r>
    </w:p>
    <w:p w14:paraId="7DEFCCF2" w14:textId="77777777" w:rsidR="0091058D" w:rsidRDefault="00C069A2" w:rsidP="00663A00">
      <w:pPr>
        <w:pStyle w:val="Heading1"/>
        <w:keepNext w:val="0"/>
      </w:pPr>
      <w:bookmarkStart w:id="94" w:name="_Toc304800217"/>
      <w:bookmarkStart w:id="95" w:name="_Toc324318371"/>
      <w:bookmarkStart w:id="96" w:name="_Toc324340500"/>
      <w:bookmarkStart w:id="97" w:name="_Toc481419700"/>
      <w:bookmarkEnd w:id="90"/>
      <w:bookmarkEnd w:id="91"/>
      <w:bookmarkEnd w:id="92"/>
      <w:bookmarkEnd w:id="93"/>
      <w:proofErr w:type="gramStart"/>
      <w:r>
        <w:t>Section 4</w:t>
      </w:r>
      <w:r w:rsidR="003129E8">
        <w:t>.</w:t>
      </w:r>
      <w:proofErr w:type="gramEnd"/>
      <w:r>
        <w:t xml:space="preserve"> Base Case &amp; Measure Costs</w:t>
      </w:r>
      <w:bookmarkEnd w:id="94"/>
      <w:bookmarkEnd w:id="95"/>
      <w:bookmarkEnd w:id="96"/>
      <w:bookmarkEnd w:id="97"/>
    </w:p>
    <w:p w14:paraId="7DEFCCF3" w14:textId="77777777" w:rsidR="001B242B" w:rsidRPr="00F55847" w:rsidRDefault="00C069A2" w:rsidP="00BC189B">
      <w:pPr>
        <w:pStyle w:val="Heading2"/>
        <w:keepNext w:val="0"/>
      </w:pPr>
      <w:bookmarkStart w:id="98" w:name="_Toc304800218"/>
      <w:bookmarkStart w:id="99" w:name="_Toc324318372"/>
      <w:bookmarkStart w:id="100" w:name="_Toc324340501"/>
      <w:bookmarkStart w:id="101" w:name="_Toc481419701"/>
      <w:r>
        <w:t>4.1 Base Case Costs</w:t>
      </w:r>
      <w:bookmarkEnd w:id="98"/>
      <w:bookmarkEnd w:id="99"/>
      <w:bookmarkEnd w:id="100"/>
      <w:bookmarkEnd w:id="101"/>
    </w:p>
    <w:p w14:paraId="7DEFCCF4" w14:textId="77777777" w:rsidR="00BD0D15" w:rsidRPr="00B8146C" w:rsidRDefault="006148C6" w:rsidP="00AB2D9E">
      <w:pPr>
        <w:rPr>
          <w:rFonts w:cs="Arial"/>
          <w:sz w:val="20"/>
          <w:szCs w:val="20"/>
        </w:rPr>
      </w:pPr>
      <w:r>
        <w:rPr>
          <w:rFonts w:cs="Arial"/>
          <w:sz w:val="20"/>
          <w:szCs w:val="20"/>
        </w:rPr>
        <w:t xml:space="preserve">The </w:t>
      </w:r>
      <w:r w:rsidR="00B8146C">
        <w:rPr>
          <w:rFonts w:cs="Arial"/>
          <w:sz w:val="20"/>
          <w:szCs w:val="20"/>
        </w:rPr>
        <w:t>base ca</w:t>
      </w:r>
      <w:r>
        <w:rPr>
          <w:rFonts w:cs="Arial"/>
          <w:sz w:val="20"/>
          <w:szCs w:val="20"/>
        </w:rPr>
        <w:t xml:space="preserve">se </w:t>
      </w:r>
      <w:r w:rsidR="00820C1F">
        <w:rPr>
          <w:rFonts w:cs="Arial"/>
          <w:sz w:val="20"/>
          <w:szCs w:val="20"/>
        </w:rPr>
        <w:t xml:space="preserve">equipment </w:t>
      </w:r>
      <w:r>
        <w:rPr>
          <w:rFonts w:cs="Arial"/>
          <w:sz w:val="20"/>
          <w:szCs w:val="20"/>
        </w:rPr>
        <w:t>cost for all measures is $0</w:t>
      </w:r>
      <w:r w:rsidR="00B8146C">
        <w:rPr>
          <w:rFonts w:cs="Arial"/>
          <w:sz w:val="20"/>
          <w:szCs w:val="20"/>
        </w:rPr>
        <w:t>.</w:t>
      </w:r>
    </w:p>
    <w:p w14:paraId="7DEFCCF5" w14:textId="77777777" w:rsidR="00C069A2" w:rsidRDefault="00663A00" w:rsidP="00BC189B">
      <w:pPr>
        <w:pStyle w:val="Heading2"/>
        <w:keepNext w:val="0"/>
      </w:pPr>
      <w:bookmarkStart w:id="102" w:name="_Toc304800219"/>
      <w:bookmarkStart w:id="103" w:name="_Toc324318373"/>
      <w:bookmarkStart w:id="104" w:name="_Toc324340502"/>
      <w:bookmarkStart w:id="105" w:name="_Toc481419702"/>
      <w:r>
        <w:t>4.2 Meas</w:t>
      </w:r>
      <w:r w:rsidR="00C069A2">
        <w:t xml:space="preserve">ure </w:t>
      </w:r>
      <w:r w:rsidR="00930877">
        <w:t xml:space="preserve">Case </w:t>
      </w:r>
      <w:r w:rsidR="00C069A2">
        <w:t>Costs</w:t>
      </w:r>
      <w:bookmarkEnd w:id="102"/>
      <w:bookmarkEnd w:id="103"/>
      <w:bookmarkEnd w:id="104"/>
      <w:bookmarkEnd w:id="105"/>
      <w:r w:rsidR="00930877">
        <w:t xml:space="preserve"> </w:t>
      </w:r>
    </w:p>
    <w:p w14:paraId="7DEFCCF6" w14:textId="77777777" w:rsidR="00BC189B" w:rsidRPr="008264BB" w:rsidRDefault="00BC189B" w:rsidP="00DD1C47">
      <w:pPr>
        <w:rPr>
          <w:rFonts w:cs="Arial"/>
          <w:sz w:val="20"/>
          <w:szCs w:val="20"/>
        </w:rPr>
      </w:pPr>
      <w:r w:rsidRPr="008264BB">
        <w:rPr>
          <w:rFonts w:cs="Arial"/>
          <w:sz w:val="20"/>
          <w:szCs w:val="20"/>
        </w:rPr>
        <w:t xml:space="preserve">Refer to the Table 4 measure </w:t>
      </w:r>
      <w:r w:rsidR="00F6049A">
        <w:rPr>
          <w:rFonts w:cs="Arial"/>
          <w:sz w:val="20"/>
          <w:szCs w:val="20"/>
        </w:rPr>
        <w:t>equipment</w:t>
      </w:r>
      <w:r w:rsidRPr="008264BB">
        <w:rPr>
          <w:rFonts w:cs="Arial"/>
          <w:sz w:val="20"/>
          <w:szCs w:val="20"/>
        </w:rPr>
        <w:t xml:space="preserve"> cost (in $ per measure unit) that equals the </w:t>
      </w:r>
      <w:r w:rsidR="00F6049A">
        <w:rPr>
          <w:rFonts w:cs="Arial"/>
          <w:sz w:val="20"/>
          <w:szCs w:val="20"/>
        </w:rPr>
        <w:t>gross</w:t>
      </w:r>
      <w:r w:rsidRPr="008264BB">
        <w:rPr>
          <w:rFonts w:cs="Arial"/>
          <w:sz w:val="20"/>
          <w:szCs w:val="20"/>
        </w:rPr>
        <w:t xml:space="preserve"> measure </w:t>
      </w:r>
      <w:r w:rsidR="00820C1F">
        <w:rPr>
          <w:rFonts w:cs="Arial"/>
          <w:sz w:val="20"/>
          <w:szCs w:val="20"/>
        </w:rPr>
        <w:t>cost</w:t>
      </w:r>
      <w:r w:rsidR="007D3D17">
        <w:rPr>
          <w:rFonts w:cs="Arial"/>
          <w:sz w:val="20"/>
          <w:szCs w:val="20"/>
        </w:rPr>
        <w:t xml:space="preserve"> or</w:t>
      </w:r>
      <w:r w:rsidR="00CF563D" w:rsidRPr="008264BB">
        <w:rPr>
          <w:rFonts w:cs="Arial"/>
          <w:sz w:val="20"/>
          <w:szCs w:val="20"/>
        </w:rPr>
        <w:t xml:space="preserve"> measure </w:t>
      </w:r>
      <w:r w:rsidR="00F6049A">
        <w:rPr>
          <w:rFonts w:cs="Arial"/>
          <w:sz w:val="20"/>
          <w:szCs w:val="20"/>
        </w:rPr>
        <w:t xml:space="preserve">incremental </w:t>
      </w:r>
      <w:r w:rsidR="00CF563D" w:rsidRPr="008264BB">
        <w:rPr>
          <w:rFonts w:cs="Arial"/>
          <w:sz w:val="20"/>
          <w:szCs w:val="20"/>
        </w:rPr>
        <w:t>cost.</w:t>
      </w:r>
      <w:r w:rsidR="00820C1F" w:rsidRPr="008264BB">
        <w:rPr>
          <w:rFonts w:cs="Arial"/>
          <w:sz w:val="20"/>
          <w:szCs w:val="20"/>
        </w:rPr>
        <w:t xml:space="preserve"> </w:t>
      </w:r>
    </w:p>
    <w:p w14:paraId="7DEFCCF7" w14:textId="77777777" w:rsidR="00463BDC" w:rsidRPr="00463BDC" w:rsidRDefault="00463BDC" w:rsidP="00463BDC">
      <w:pPr>
        <w:pStyle w:val="Caption"/>
        <w:keepNext/>
        <w:spacing w:before="120" w:after="120"/>
        <w:rPr>
          <w:rFonts w:cs="Arial"/>
          <w:sz w:val="24"/>
          <w:szCs w:val="24"/>
        </w:rPr>
      </w:pPr>
      <w:bookmarkStart w:id="106" w:name="_Toc481419710"/>
      <w:proofErr w:type="gramStart"/>
      <w:r w:rsidRPr="00463BDC">
        <w:rPr>
          <w:rFonts w:cs="Arial"/>
          <w:sz w:val="24"/>
          <w:szCs w:val="24"/>
        </w:rPr>
        <w:t xml:space="preserve">Table </w:t>
      </w:r>
      <w:r w:rsidRPr="00463BDC">
        <w:rPr>
          <w:rFonts w:cs="Arial"/>
          <w:sz w:val="24"/>
          <w:szCs w:val="24"/>
        </w:rPr>
        <w:fldChar w:fldCharType="begin"/>
      </w:r>
      <w:r w:rsidRPr="00463BDC">
        <w:rPr>
          <w:rFonts w:cs="Arial"/>
          <w:sz w:val="24"/>
          <w:szCs w:val="24"/>
        </w:rPr>
        <w:instrText xml:space="preserve"> SEQ Table \* ARABIC </w:instrText>
      </w:r>
      <w:r w:rsidRPr="00463BDC">
        <w:rPr>
          <w:rFonts w:cs="Arial"/>
          <w:sz w:val="24"/>
          <w:szCs w:val="24"/>
        </w:rPr>
        <w:fldChar w:fldCharType="separate"/>
      </w:r>
      <w:r w:rsidR="00644DB4">
        <w:rPr>
          <w:rFonts w:cs="Arial"/>
          <w:noProof/>
          <w:sz w:val="24"/>
          <w:szCs w:val="24"/>
        </w:rPr>
        <w:t>4</w:t>
      </w:r>
      <w:r w:rsidRPr="00463BDC">
        <w:rPr>
          <w:rFonts w:cs="Arial"/>
          <w:sz w:val="24"/>
          <w:szCs w:val="24"/>
        </w:rPr>
        <w:fldChar w:fldCharType="end"/>
      </w:r>
      <w:r w:rsidR="00EF60F4">
        <w:rPr>
          <w:rFonts w:cs="Arial"/>
          <w:sz w:val="24"/>
          <w:szCs w:val="24"/>
        </w:rPr>
        <w:t>.</w:t>
      </w:r>
      <w:proofErr w:type="gramEnd"/>
      <w:r w:rsidR="00EF60F4">
        <w:rPr>
          <w:rFonts w:cs="Arial"/>
          <w:sz w:val="24"/>
          <w:szCs w:val="24"/>
        </w:rPr>
        <w:t xml:space="preserve"> </w:t>
      </w:r>
      <w:r w:rsidRPr="00463BDC">
        <w:rPr>
          <w:rFonts w:cs="Arial"/>
          <w:sz w:val="24"/>
          <w:szCs w:val="24"/>
        </w:rPr>
        <w:t xml:space="preserve">Measure </w:t>
      </w:r>
      <w:r w:rsidR="00F6049A">
        <w:rPr>
          <w:rFonts w:cs="Arial"/>
          <w:sz w:val="24"/>
          <w:szCs w:val="24"/>
        </w:rPr>
        <w:t>Equipment</w:t>
      </w:r>
      <w:r w:rsidRPr="00463BDC">
        <w:rPr>
          <w:rFonts w:cs="Arial"/>
          <w:sz w:val="24"/>
          <w:szCs w:val="24"/>
        </w:rPr>
        <w:t xml:space="preserve"> Costs</w:t>
      </w:r>
      <w:bookmarkEnd w:id="106"/>
    </w:p>
    <w:tbl>
      <w:tblPr>
        <w:tblStyle w:val="PGEWorkPaper"/>
        <w:tblW w:w="5000" w:type="pct"/>
        <w:tblLook w:val="00A0" w:firstRow="1" w:lastRow="0" w:firstColumn="1" w:lastColumn="0" w:noHBand="0" w:noVBand="0"/>
      </w:tblPr>
      <w:tblGrid>
        <w:gridCol w:w="4417"/>
        <w:gridCol w:w="1531"/>
        <w:gridCol w:w="1210"/>
        <w:gridCol w:w="1210"/>
        <w:gridCol w:w="1208"/>
      </w:tblGrid>
      <w:tr w:rsidR="00F739F5" w:rsidRPr="00261FC7" w14:paraId="7DEFCCFB" w14:textId="77777777" w:rsidTr="00136A07">
        <w:trPr>
          <w:cnfStyle w:val="100000000000" w:firstRow="1" w:lastRow="0" w:firstColumn="0" w:lastColumn="0" w:oddVBand="0" w:evenVBand="0" w:oddHBand="0" w:evenHBand="0" w:firstRowFirstColumn="0" w:firstRowLastColumn="0" w:lastRowFirstColumn="0" w:lastRowLastColumn="0"/>
        </w:trPr>
        <w:tc>
          <w:tcPr>
            <w:tcW w:w="2306" w:type="pct"/>
          </w:tcPr>
          <w:p w14:paraId="7DEFCCF8" w14:textId="77777777" w:rsidR="00F739F5" w:rsidRPr="00261FC7" w:rsidRDefault="00F739F5" w:rsidP="00A114C0">
            <w:pPr>
              <w:rPr>
                <w:sz w:val="20"/>
                <w:szCs w:val="20"/>
              </w:rPr>
            </w:pPr>
            <w:r w:rsidRPr="00261FC7">
              <w:rPr>
                <w:sz w:val="20"/>
                <w:szCs w:val="20"/>
              </w:rPr>
              <w:t>Measure Code</w:t>
            </w:r>
          </w:p>
        </w:tc>
        <w:tc>
          <w:tcPr>
            <w:tcW w:w="799" w:type="pct"/>
          </w:tcPr>
          <w:p w14:paraId="7DEFCCF9" w14:textId="77777777" w:rsidR="00F739F5" w:rsidRPr="00261FC7" w:rsidRDefault="00F739F5" w:rsidP="00A114C0">
            <w:pPr>
              <w:rPr>
                <w:sz w:val="20"/>
                <w:szCs w:val="20"/>
              </w:rPr>
            </w:pPr>
            <w:r w:rsidRPr="00261FC7">
              <w:rPr>
                <w:sz w:val="20"/>
                <w:szCs w:val="20"/>
              </w:rPr>
              <w:t>Measure Application Type</w:t>
            </w:r>
          </w:p>
        </w:tc>
        <w:tc>
          <w:tcPr>
            <w:tcW w:w="632" w:type="pct"/>
          </w:tcPr>
          <w:p w14:paraId="432CFA23" w14:textId="4A489788" w:rsidR="00F739F5" w:rsidRPr="00261FC7" w:rsidRDefault="00F739F5" w:rsidP="00927C6E">
            <w:pPr>
              <w:rPr>
                <w:sz w:val="20"/>
                <w:szCs w:val="20"/>
              </w:rPr>
            </w:pPr>
            <w:r w:rsidRPr="00261FC7">
              <w:rPr>
                <w:sz w:val="20"/>
                <w:szCs w:val="20"/>
              </w:rPr>
              <w:t>Measure Case Cost</w:t>
            </w:r>
            <w:r w:rsidRPr="00261FC7">
              <w:rPr>
                <w:sz w:val="20"/>
                <w:szCs w:val="20"/>
                <w:vertAlign w:val="superscript"/>
              </w:rPr>
              <w:fldChar w:fldCharType="begin"/>
            </w:r>
            <w:r w:rsidRPr="00261FC7">
              <w:rPr>
                <w:sz w:val="20"/>
                <w:szCs w:val="20"/>
                <w:vertAlign w:val="superscript"/>
              </w:rPr>
              <w:instrText xml:space="preserve"> NOTEREF _Ref328413302 \h  \* MERGEFORMAT </w:instrText>
            </w:r>
            <w:r w:rsidRPr="00261FC7">
              <w:rPr>
                <w:sz w:val="20"/>
                <w:szCs w:val="20"/>
                <w:vertAlign w:val="superscript"/>
              </w:rPr>
            </w:r>
            <w:r w:rsidRPr="00261FC7">
              <w:rPr>
                <w:sz w:val="20"/>
                <w:szCs w:val="20"/>
                <w:vertAlign w:val="superscript"/>
              </w:rPr>
              <w:fldChar w:fldCharType="separate"/>
            </w:r>
            <w:r>
              <w:rPr>
                <w:sz w:val="20"/>
                <w:szCs w:val="20"/>
                <w:vertAlign w:val="superscript"/>
              </w:rPr>
              <w:t>4</w:t>
            </w:r>
            <w:r w:rsidRPr="00261FC7">
              <w:rPr>
                <w:sz w:val="20"/>
                <w:szCs w:val="20"/>
                <w:vertAlign w:val="superscript"/>
              </w:rPr>
              <w:fldChar w:fldCharType="end"/>
            </w:r>
          </w:p>
        </w:tc>
        <w:tc>
          <w:tcPr>
            <w:tcW w:w="632" w:type="pct"/>
          </w:tcPr>
          <w:p w14:paraId="4E6F6A86" w14:textId="2C58E0C8" w:rsidR="00F739F5" w:rsidRDefault="00F739F5" w:rsidP="00381425">
            <w:pPr>
              <w:rPr>
                <w:sz w:val="20"/>
                <w:szCs w:val="20"/>
              </w:rPr>
            </w:pPr>
            <w:r>
              <w:rPr>
                <w:sz w:val="20"/>
                <w:szCs w:val="20"/>
              </w:rPr>
              <w:t>Labor</w:t>
            </w:r>
            <w:r w:rsidRPr="00261FC7">
              <w:rPr>
                <w:sz w:val="20"/>
                <w:szCs w:val="20"/>
              </w:rPr>
              <w:t xml:space="preserve"> Case Cost</w:t>
            </w:r>
            <w:r>
              <w:rPr>
                <w:sz w:val="20"/>
                <w:szCs w:val="20"/>
                <w:vertAlign w:val="superscript"/>
              </w:rPr>
              <w:t>10</w:t>
            </w:r>
          </w:p>
        </w:tc>
        <w:tc>
          <w:tcPr>
            <w:tcW w:w="631" w:type="pct"/>
          </w:tcPr>
          <w:p w14:paraId="7DEFCCFA" w14:textId="21E3DE40" w:rsidR="00F739F5" w:rsidRPr="00261FC7" w:rsidRDefault="00F739F5" w:rsidP="00F739F5">
            <w:pPr>
              <w:rPr>
                <w:sz w:val="20"/>
                <w:szCs w:val="20"/>
              </w:rPr>
            </w:pPr>
            <w:r>
              <w:rPr>
                <w:sz w:val="20"/>
                <w:szCs w:val="20"/>
              </w:rPr>
              <w:t>IMC/Full Measure</w:t>
            </w:r>
            <w:r w:rsidRPr="00261FC7">
              <w:rPr>
                <w:sz w:val="20"/>
                <w:szCs w:val="20"/>
              </w:rPr>
              <w:t xml:space="preserve"> Cost</w:t>
            </w:r>
          </w:p>
        </w:tc>
      </w:tr>
      <w:tr w:rsidR="00F739F5" w:rsidRPr="00652F28" w14:paraId="7DEFCCFF" w14:textId="77777777" w:rsidTr="00136A07">
        <w:trPr>
          <w:cnfStyle w:val="000000100000" w:firstRow="0" w:lastRow="0" w:firstColumn="0" w:lastColumn="0" w:oddVBand="0" w:evenVBand="0" w:oddHBand="1" w:evenHBand="0" w:firstRowFirstColumn="0" w:firstRowLastColumn="0" w:lastRowFirstColumn="0" w:lastRowLastColumn="0"/>
        </w:trPr>
        <w:tc>
          <w:tcPr>
            <w:tcW w:w="2306" w:type="pct"/>
          </w:tcPr>
          <w:p w14:paraId="7DEFCCFC" w14:textId="1BA65DFB" w:rsidR="00F739F5" w:rsidRPr="00261FC7" w:rsidRDefault="00F739F5" w:rsidP="00A114C0">
            <w:pPr>
              <w:rPr>
                <w:b/>
                <w:sz w:val="20"/>
                <w:szCs w:val="20"/>
              </w:rPr>
            </w:pPr>
            <w:r>
              <w:rPr>
                <w:rFonts w:cs="Arial"/>
                <w:b/>
                <w:sz w:val="20"/>
                <w:szCs w:val="20"/>
              </w:rPr>
              <w:t xml:space="preserve">HA10 </w:t>
            </w:r>
            <w:r w:rsidRPr="00261FC7">
              <w:rPr>
                <w:rFonts w:cs="Arial"/>
                <w:b/>
                <w:sz w:val="20"/>
                <w:szCs w:val="20"/>
              </w:rPr>
              <w:t xml:space="preserve">“temperature modulation” </w:t>
            </w:r>
            <w:r>
              <w:rPr>
                <w:rFonts w:cs="Arial"/>
                <w:b/>
                <w:sz w:val="20"/>
                <w:szCs w:val="20"/>
              </w:rPr>
              <w:t xml:space="preserve">boiler </w:t>
            </w:r>
            <w:r w:rsidRPr="00261FC7">
              <w:rPr>
                <w:rFonts w:cs="Arial"/>
                <w:b/>
                <w:sz w:val="20"/>
                <w:szCs w:val="20"/>
              </w:rPr>
              <w:t>controller for multifamily facilities</w:t>
            </w:r>
          </w:p>
        </w:tc>
        <w:tc>
          <w:tcPr>
            <w:tcW w:w="799" w:type="pct"/>
          </w:tcPr>
          <w:p w14:paraId="7DEFCCFD" w14:textId="58425961" w:rsidR="00F739F5" w:rsidRPr="00652F28" w:rsidRDefault="00F739F5" w:rsidP="00A114C0">
            <w:pPr>
              <w:rPr>
                <w:sz w:val="20"/>
                <w:szCs w:val="20"/>
              </w:rPr>
            </w:pPr>
            <w:r>
              <w:rPr>
                <w:sz w:val="20"/>
                <w:szCs w:val="20"/>
              </w:rPr>
              <w:t>REA</w:t>
            </w:r>
          </w:p>
        </w:tc>
        <w:tc>
          <w:tcPr>
            <w:tcW w:w="632" w:type="pct"/>
          </w:tcPr>
          <w:p w14:paraId="17249269" w14:textId="5DEA1319" w:rsidR="00F739F5" w:rsidRPr="00652F28" w:rsidRDefault="00F739F5" w:rsidP="00A114C0">
            <w:pPr>
              <w:rPr>
                <w:sz w:val="20"/>
                <w:szCs w:val="20"/>
              </w:rPr>
            </w:pPr>
            <w:r w:rsidRPr="00652F28">
              <w:rPr>
                <w:sz w:val="20"/>
                <w:szCs w:val="20"/>
              </w:rPr>
              <w:t>$28.55</w:t>
            </w:r>
          </w:p>
        </w:tc>
        <w:tc>
          <w:tcPr>
            <w:tcW w:w="632" w:type="pct"/>
          </w:tcPr>
          <w:p w14:paraId="47BF9DA0" w14:textId="68B8D0C1" w:rsidR="00F739F5" w:rsidRPr="00652F28" w:rsidRDefault="00F739F5" w:rsidP="00381425">
            <w:pPr>
              <w:rPr>
                <w:sz w:val="20"/>
                <w:szCs w:val="20"/>
              </w:rPr>
            </w:pPr>
            <w:r w:rsidRPr="00652F28">
              <w:rPr>
                <w:sz w:val="20"/>
                <w:szCs w:val="20"/>
              </w:rPr>
              <w:t>$</w:t>
            </w:r>
            <w:r>
              <w:rPr>
                <w:sz w:val="20"/>
                <w:szCs w:val="20"/>
              </w:rPr>
              <w:t>44.00</w:t>
            </w:r>
          </w:p>
        </w:tc>
        <w:tc>
          <w:tcPr>
            <w:tcW w:w="631" w:type="pct"/>
          </w:tcPr>
          <w:p w14:paraId="7DEFCCFE" w14:textId="6334296D" w:rsidR="00F739F5" w:rsidRPr="00652F28" w:rsidRDefault="00F739F5" w:rsidP="00F739F5">
            <w:pPr>
              <w:rPr>
                <w:sz w:val="20"/>
                <w:szCs w:val="20"/>
              </w:rPr>
            </w:pPr>
            <w:r w:rsidRPr="00652F28">
              <w:rPr>
                <w:sz w:val="20"/>
                <w:szCs w:val="20"/>
              </w:rPr>
              <w:t>$</w:t>
            </w:r>
            <w:r>
              <w:rPr>
                <w:sz w:val="20"/>
                <w:szCs w:val="20"/>
              </w:rPr>
              <w:t>72.55</w:t>
            </w:r>
          </w:p>
        </w:tc>
      </w:tr>
      <w:tr w:rsidR="00136A07" w:rsidRPr="00652F28" w14:paraId="7DEFCD03" w14:textId="77777777" w:rsidTr="00F35B05">
        <w:trPr>
          <w:cnfStyle w:val="000000010000" w:firstRow="0" w:lastRow="0" w:firstColumn="0" w:lastColumn="0" w:oddVBand="0" w:evenVBand="0" w:oddHBand="0" w:evenHBand="1" w:firstRowFirstColumn="0" w:firstRowLastColumn="0" w:lastRowFirstColumn="0" w:lastRowLastColumn="0"/>
        </w:trPr>
        <w:tc>
          <w:tcPr>
            <w:tcW w:w="2306" w:type="pct"/>
          </w:tcPr>
          <w:p w14:paraId="7DEFCD00" w14:textId="4ABD74B8" w:rsidR="00136A07" w:rsidRPr="00261FC7" w:rsidRDefault="00136A07" w:rsidP="00B8146C">
            <w:pPr>
              <w:rPr>
                <w:b/>
                <w:sz w:val="20"/>
                <w:szCs w:val="20"/>
              </w:rPr>
            </w:pPr>
            <w:r>
              <w:rPr>
                <w:rFonts w:cs="Arial"/>
                <w:b/>
                <w:sz w:val="20"/>
                <w:szCs w:val="20"/>
              </w:rPr>
              <w:t xml:space="preserve">HA13 </w:t>
            </w:r>
            <w:r w:rsidRPr="00261FC7">
              <w:rPr>
                <w:rFonts w:cs="Arial"/>
                <w:b/>
                <w:sz w:val="20"/>
                <w:szCs w:val="20"/>
              </w:rPr>
              <w:t xml:space="preserve">“temperature modulation” </w:t>
            </w:r>
            <w:r>
              <w:rPr>
                <w:rFonts w:cs="Arial"/>
                <w:b/>
                <w:sz w:val="20"/>
                <w:szCs w:val="20"/>
              </w:rPr>
              <w:t xml:space="preserve">boiler </w:t>
            </w:r>
            <w:r w:rsidRPr="00261FC7">
              <w:rPr>
                <w:rFonts w:cs="Arial"/>
                <w:b/>
                <w:sz w:val="20"/>
                <w:szCs w:val="20"/>
              </w:rPr>
              <w:t>controller for lodging facilities</w:t>
            </w:r>
          </w:p>
        </w:tc>
        <w:tc>
          <w:tcPr>
            <w:tcW w:w="799" w:type="pct"/>
          </w:tcPr>
          <w:p w14:paraId="7DEFCD01" w14:textId="13702DAB" w:rsidR="00136A07" w:rsidRPr="00652F28" w:rsidRDefault="00136A07" w:rsidP="00A114C0">
            <w:pPr>
              <w:rPr>
                <w:sz w:val="20"/>
                <w:szCs w:val="20"/>
              </w:rPr>
            </w:pPr>
            <w:r w:rsidRPr="00652F28">
              <w:rPr>
                <w:sz w:val="20"/>
                <w:szCs w:val="20"/>
              </w:rPr>
              <w:t>R</w:t>
            </w:r>
            <w:r>
              <w:rPr>
                <w:sz w:val="20"/>
                <w:szCs w:val="20"/>
              </w:rPr>
              <w:t>EA</w:t>
            </w:r>
          </w:p>
        </w:tc>
        <w:tc>
          <w:tcPr>
            <w:tcW w:w="632" w:type="pct"/>
          </w:tcPr>
          <w:p w14:paraId="47B2AC14" w14:textId="53C1AC4F" w:rsidR="00136A07" w:rsidRPr="00652F28" w:rsidRDefault="00136A07" w:rsidP="00A114C0">
            <w:pPr>
              <w:rPr>
                <w:sz w:val="20"/>
                <w:szCs w:val="20"/>
              </w:rPr>
            </w:pPr>
            <w:r w:rsidRPr="00652F28">
              <w:rPr>
                <w:sz w:val="20"/>
                <w:szCs w:val="20"/>
              </w:rPr>
              <w:t>$28.55</w:t>
            </w:r>
          </w:p>
        </w:tc>
        <w:tc>
          <w:tcPr>
            <w:tcW w:w="632" w:type="pct"/>
          </w:tcPr>
          <w:p w14:paraId="5CB8D2FD" w14:textId="303CDC32" w:rsidR="00136A07" w:rsidRPr="00652F28" w:rsidRDefault="00136A07" w:rsidP="00381425">
            <w:pPr>
              <w:rPr>
                <w:sz w:val="20"/>
                <w:szCs w:val="20"/>
              </w:rPr>
            </w:pPr>
            <w:r w:rsidRPr="00652F28">
              <w:rPr>
                <w:sz w:val="20"/>
                <w:szCs w:val="20"/>
              </w:rPr>
              <w:t>$</w:t>
            </w:r>
            <w:r>
              <w:rPr>
                <w:sz w:val="20"/>
                <w:szCs w:val="20"/>
              </w:rPr>
              <w:t>44</w:t>
            </w:r>
            <w:r w:rsidRPr="00652F28">
              <w:rPr>
                <w:sz w:val="20"/>
                <w:szCs w:val="20"/>
              </w:rPr>
              <w:t>.</w:t>
            </w:r>
            <w:r>
              <w:rPr>
                <w:sz w:val="20"/>
                <w:szCs w:val="20"/>
              </w:rPr>
              <w:t>00</w:t>
            </w:r>
          </w:p>
        </w:tc>
        <w:tc>
          <w:tcPr>
            <w:tcW w:w="631" w:type="pct"/>
          </w:tcPr>
          <w:p w14:paraId="7DEFCD02" w14:textId="64BEF9AF" w:rsidR="00136A07" w:rsidRPr="00652F28" w:rsidRDefault="00136A07" w:rsidP="00F739F5">
            <w:pPr>
              <w:rPr>
                <w:sz w:val="20"/>
                <w:szCs w:val="20"/>
              </w:rPr>
            </w:pPr>
            <w:r w:rsidRPr="00652F28">
              <w:rPr>
                <w:sz w:val="20"/>
                <w:szCs w:val="20"/>
              </w:rPr>
              <w:t>$</w:t>
            </w:r>
            <w:r>
              <w:rPr>
                <w:sz w:val="20"/>
                <w:szCs w:val="20"/>
              </w:rPr>
              <w:t>72</w:t>
            </w:r>
            <w:r w:rsidRPr="00652F28">
              <w:rPr>
                <w:sz w:val="20"/>
                <w:szCs w:val="20"/>
              </w:rPr>
              <w:t>.</w:t>
            </w:r>
            <w:r>
              <w:rPr>
                <w:sz w:val="20"/>
                <w:szCs w:val="20"/>
              </w:rPr>
              <w:t>55</w:t>
            </w:r>
          </w:p>
        </w:tc>
      </w:tr>
    </w:tbl>
    <w:p w14:paraId="7DEFCD0C" w14:textId="77777777" w:rsidR="00DD1C47" w:rsidRPr="00DD1C47" w:rsidRDefault="00DD1C47" w:rsidP="00F55847">
      <w:pPr>
        <w:rPr>
          <w:rFonts w:cs="Arial"/>
          <w:sz w:val="20"/>
          <w:szCs w:val="20"/>
        </w:rPr>
      </w:pPr>
    </w:p>
    <w:p w14:paraId="7DEFCD0D" w14:textId="77777777" w:rsidR="0030550A" w:rsidRDefault="0030550A" w:rsidP="002E0043">
      <w:pPr>
        <w:pStyle w:val="Heading2"/>
        <w:keepNext w:val="0"/>
      </w:pPr>
      <w:bookmarkStart w:id="107" w:name="_Toc304800220"/>
      <w:bookmarkStart w:id="108" w:name="_Toc324318374"/>
      <w:bookmarkStart w:id="109" w:name="_Toc324340503"/>
      <w:bookmarkStart w:id="110" w:name="_Toc481419703"/>
      <w:r>
        <w:t>4.3 Incremental &amp; Full Measure Costs</w:t>
      </w:r>
      <w:bookmarkEnd w:id="107"/>
      <w:bookmarkEnd w:id="108"/>
      <w:bookmarkEnd w:id="109"/>
      <w:bookmarkEnd w:id="110"/>
    </w:p>
    <w:p w14:paraId="7DEFCD0E" w14:textId="77777777" w:rsidR="00BC189B" w:rsidRDefault="00BC189B" w:rsidP="00BC189B">
      <w:pPr>
        <w:rPr>
          <w:rFonts w:cs="Arial"/>
          <w:sz w:val="20"/>
          <w:szCs w:val="20"/>
        </w:rPr>
      </w:pPr>
      <w:r>
        <w:rPr>
          <w:rFonts w:cs="Arial"/>
          <w:sz w:val="20"/>
          <w:szCs w:val="20"/>
        </w:rPr>
        <w:t>Refer to the Table 4 measure case cost (in $ per measure unit) that equals the incremental measure cost and the full measure cost.</w:t>
      </w:r>
    </w:p>
    <w:p w14:paraId="7DEFCD0F" w14:textId="77777777" w:rsidR="000C668B" w:rsidRPr="00EC29E1" w:rsidRDefault="003F57BD" w:rsidP="00EC29E1">
      <w:pPr>
        <w:pStyle w:val="Heading2"/>
      </w:pPr>
      <w:bookmarkStart w:id="111" w:name="_Toc324318375"/>
      <w:bookmarkStart w:id="112" w:name="_Toc324340504"/>
      <w:bookmarkStart w:id="113" w:name="_Toc481419704"/>
      <w:r w:rsidRPr="00EC29E1">
        <w:lastRenderedPageBreak/>
        <w:t>4.3.1 Gross Measure Cost</w:t>
      </w:r>
      <w:bookmarkStart w:id="114" w:name="_Toc324318376"/>
      <w:bookmarkStart w:id="115" w:name="_Toc324340505"/>
      <w:bookmarkStart w:id="116" w:name="_Toc304800221"/>
      <w:bookmarkEnd w:id="111"/>
      <w:bookmarkEnd w:id="112"/>
      <w:bookmarkEnd w:id="113"/>
    </w:p>
    <w:p w14:paraId="7DEFCD10" w14:textId="77777777" w:rsidR="00CF563D" w:rsidRPr="009A3F92" w:rsidRDefault="00CF563D" w:rsidP="009A3F92">
      <w:pPr>
        <w:rPr>
          <w:rFonts w:cs="Arial"/>
          <w:i/>
          <w:sz w:val="20"/>
          <w:szCs w:val="20"/>
        </w:rPr>
      </w:pPr>
      <w:r w:rsidRPr="009A3F92">
        <w:rPr>
          <w:rFonts w:cs="Arial"/>
          <w:sz w:val="20"/>
          <w:szCs w:val="20"/>
        </w:rPr>
        <w:t>Refer to the Table 4 measure case cost (in $ per measure unit) that equals the gross measure cost.</w:t>
      </w:r>
    </w:p>
    <w:p w14:paraId="7DEFCD11" w14:textId="77777777" w:rsidR="000C668B" w:rsidRPr="00EC29E1" w:rsidRDefault="001E4C31" w:rsidP="00EC29E1">
      <w:pPr>
        <w:pStyle w:val="Heading2"/>
      </w:pPr>
      <w:bookmarkStart w:id="117" w:name="_Toc481419705"/>
      <w:r w:rsidRPr="00EC29E1">
        <w:t xml:space="preserve">4.3.2 </w:t>
      </w:r>
      <w:r w:rsidR="00A47BFE" w:rsidRPr="00EC29E1">
        <w:t>Incremental Measure Cost</w:t>
      </w:r>
      <w:bookmarkStart w:id="118" w:name="_MON_1382719630"/>
      <w:bookmarkStart w:id="119" w:name="_Toc324340506"/>
      <w:bookmarkStart w:id="120" w:name="_Toc324318377"/>
      <w:bookmarkStart w:id="121" w:name="_Toc324340404"/>
      <w:bookmarkEnd w:id="114"/>
      <w:bookmarkEnd w:id="115"/>
      <w:bookmarkEnd w:id="117"/>
      <w:bookmarkEnd w:id="118"/>
    </w:p>
    <w:p w14:paraId="7DEFCD12" w14:textId="77777777" w:rsidR="00622319" w:rsidRPr="009A3F92" w:rsidRDefault="00CF563D" w:rsidP="009A3F92">
      <w:pPr>
        <w:rPr>
          <w:rStyle w:val="Strong"/>
          <w:i/>
          <w:sz w:val="20"/>
          <w:szCs w:val="20"/>
        </w:rPr>
      </w:pPr>
      <w:r w:rsidRPr="009A3F92">
        <w:rPr>
          <w:sz w:val="20"/>
          <w:szCs w:val="20"/>
        </w:rPr>
        <w:t>Refer to the Table 4 measure case cost (in $ per measure unit) that equals the incremental measur</w:t>
      </w:r>
      <w:r w:rsidR="001B7645">
        <w:rPr>
          <w:sz w:val="20"/>
          <w:szCs w:val="20"/>
        </w:rPr>
        <w:t>e cost.</w:t>
      </w:r>
      <w:bookmarkEnd w:id="116"/>
      <w:bookmarkEnd w:id="119"/>
      <w:bookmarkEnd w:id="120"/>
      <w:bookmarkEnd w:id="121"/>
      <w:r w:rsidR="002C26EB" w:rsidRPr="009A3F92">
        <w:rPr>
          <w:rStyle w:val="Strong"/>
          <w:sz w:val="20"/>
          <w:szCs w:val="20"/>
        </w:rPr>
        <w:t xml:space="preserve"> </w:t>
      </w:r>
    </w:p>
    <w:p w14:paraId="7DEFCD13" w14:textId="77777777" w:rsidR="00F52572" w:rsidRPr="00F52572" w:rsidRDefault="00F52572" w:rsidP="00F52572"/>
    <w:p w14:paraId="7DEFCD14" w14:textId="77777777" w:rsidR="00AF1807" w:rsidRDefault="00AF1807" w:rsidP="000966CC">
      <w:pPr>
        <w:pStyle w:val="Heading1"/>
        <w:sectPr w:rsidR="00AF1807" w:rsidSect="00095CCD">
          <w:footerReference w:type="default" r:id="rId23"/>
          <w:endnotePr>
            <w:numFmt w:val="decimal"/>
          </w:endnotePr>
          <w:pgSz w:w="12240" w:h="15840"/>
          <w:pgMar w:top="1440" w:right="1440" w:bottom="1440" w:left="1440" w:header="720" w:footer="720" w:gutter="0"/>
          <w:pgNumType w:start="1" w:chapStyle="1"/>
          <w:cols w:space="720"/>
          <w:docGrid w:linePitch="360"/>
        </w:sectPr>
      </w:pPr>
      <w:bookmarkStart w:id="122" w:name="_Toc324318383"/>
      <w:bookmarkStart w:id="123" w:name="_Toc324340513"/>
      <w:bookmarkStart w:id="124" w:name="_Toc304800222"/>
    </w:p>
    <w:p w14:paraId="7DEFCD15" w14:textId="77777777" w:rsidR="006B4563" w:rsidRDefault="000966CC" w:rsidP="000966CC">
      <w:pPr>
        <w:pStyle w:val="Heading1"/>
      </w:pPr>
      <w:bookmarkStart w:id="125" w:name="_Toc481419706"/>
      <w:r>
        <w:lastRenderedPageBreak/>
        <w:t>References</w:t>
      </w:r>
      <w:bookmarkEnd w:id="122"/>
      <w:bookmarkEnd w:id="123"/>
      <w:bookmarkEnd w:id="125"/>
      <w:r w:rsidR="00844B27">
        <w:t xml:space="preserve"> </w:t>
      </w:r>
    </w:p>
    <w:bookmarkEnd w:id="124"/>
    <w:p w14:paraId="7DEFCD16"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5B6F6E" w14:textId="77777777" w:rsidR="006C03F8" w:rsidRDefault="006C03F8">
      <w:r>
        <w:separator/>
      </w:r>
    </w:p>
    <w:p w14:paraId="71CEC532" w14:textId="77777777" w:rsidR="006C03F8" w:rsidRDefault="006C03F8"/>
  </w:endnote>
  <w:endnote w:type="continuationSeparator" w:id="0">
    <w:p w14:paraId="77EDF335" w14:textId="77777777" w:rsidR="006C03F8" w:rsidRDefault="006C03F8">
      <w:r>
        <w:continuationSeparator/>
      </w:r>
    </w:p>
    <w:p w14:paraId="7E98201A" w14:textId="77777777" w:rsidR="006C03F8" w:rsidRDefault="006C03F8"/>
  </w:endnote>
  <w:endnote w:id="1">
    <w:p w14:paraId="7DEFCD3C" w14:textId="3A6256EC" w:rsidR="00F35B05" w:rsidRDefault="00F35B05">
      <w:pPr>
        <w:pStyle w:val="EndnoteText"/>
      </w:pPr>
      <w:r>
        <w:rPr>
          <w:rStyle w:val="EndnoteReference"/>
        </w:rPr>
        <w:endnoteRef/>
      </w:r>
      <w:r>
        <w:t xml:space="preserve"> 2014 DEER READI Version 2.0.1 Tool, </w:t>
      </w:r>
      <w:hyperlink r:id="rId1" w:history="1">
        <w:r w:rsidRPr="00A33E7A">
          <w:rPr>
            <w:rStyle w:val="Hyperlink"/>
          </w:rPr>
          <w:t>http://www.deeresources.com/</w:t>
        </w:r>
      </w:hyperlink>
    </w:p>
  </w:endnote>
  <w:endnote w:id="2">
    <w:p w14:paraId="4E85FF41" w14:textId="059E4E63" w:rsidR="00F35B05" w:rsidRDefault="00F35B05">
      <w:pPr>
        <w:pStyle w:val="EndnoteText"/>
      </w:pPr>
      <w:r>
        <w:rPr>
          <w:rStyle w:val="EndnoteReference"/>
        </w:rPr>
        <w:endnoteRef/>
      </w:r>
      <w:r>
        <w:t xml:space="preserve"> </w:t>
      </w:r>
      <w:r>
        <w:rPr>
          <w:rFonts w:cs="Arial"/>
        </w:rPr>
        <w:t>2014</w:t>
      </w:r>
      <w:r w:rsidRPr="001221C0">
        <w:rPr>
          <w:rFonts w:cs="Arial"/>
        </w:rPr>
        <w:t xml:space="preserve"> California </w:t>
      </w:r>
      <w:r>
        <w:rPr>
          <w:rFonts w:cs="Arial"/>
        </w:rPr>
        <w:t xml:space="preserve">Title 20 </w:t>
      </w:r>
      <w:r w:rsidRPr="001221C0">
        <w:rPr>
          <w:rFonts w:cs="Arial"/>
        </w:rPr>
        <w:t>Appliance E</w:t>
      </w:r>
      <w:r>
        <w:rPr>
          <w:rFonts w:cs="Arial"/>
        </w:rPr>
        <w:t>fficiency Regulations</w:t>
      </w:r>
      <w:r w:rsidRPr="001221C0">
        <w:rPr>
          <w:rFonts w:cs="Arial"/>
        </w:rPr>
        <w:t xml:space="preserve">, </w:t>
      </w:r>
      <w:hyperlink r:id="rId2" w:history="1">
        <w:r w:rsidRPr="007938FD">
          <w:rPr>
            <w:rStyle w:val="Hyperlink"/>
          </w:rPr>
          <w:t>http://www.energy.ca.gov/appliances/</w:t>
        </w:r>
      </w:hyperlink>
    </w:p>
  </w:endnote>
  <w:endnote w:id="3">
    <w:p w14:paraId="76E1C0E5" w14:textId="4DB1F84B" w:rsidR="00F35B05" w:rsidRPr="00F91FB2" w:rsidRDefault="00F35B05">
      <w:pPr>
        <w:pStyle w:val="EndnoteText"/>
      </w:pPr>
      <w:r>
        <w:rPr>
          <w:rStyle w:val="EndnoteReference"/>
        </w:rPr>
        <w:endnoteRef/>
      </w:r>
      <w:r>
        <w:t xml:space="preserve"> </w:t>
      </w:r>
      <w:r>
        <w:rPr>
          <w:rFonts w:cs="Arial"/>
        </w:rPr>
        <w:t>2013</w:t>
      </w:r>
      <w:r w:rsidRPr="00C1411D">
        <w:rPr>
          <w:rFonts w:cs="Arial"/>
        </w:rPr>
        <w:t xml:space="preserve"> California </w:t>
      </w:r>
      <w:r>
        <w:rPr>
          <w:rFonts w:cs="Arial"/>
        </w:rPr>
        <w:t xml:space="preserve">Title 24 </w:t>
      </w:r>
      <w:r w:rsidRPr="00C1411D">
        <w:rPr>
          <w:rFonts w:cs="Arial"/>
        </w:rPr>
        <w:t>Building</w:t>
      </w:r>
      <w:r>
        <w:rPr>
          <w:rFonts w:cs="Arial"/>
        </w:rPr>
        <w:t xml:space="preserve"> Efficiency Standards</w:t>
      </w:r>
      <w:r w:rsidRPr="00C1411D">
        <w:rPr>
          <w:rFonts w:cs="Arial"/>
        </w:rPr>
        <w:t xml:space="preserve">, </w:t>
      </w:r>
      <w:hyperlink r:id="rId3" w:history="1">
        <w:r w:rsidRPr="007938FD">
          <w:rPr>
            <w:rStyle w:val="Hyperlink"/>
          </w:rPr>
          <w:t>http://www.energy.ca.gov/title24/2013standards/</w:t>
        </w:r>
      </w:hyperlink>
    </w:p>
  </w:endnote>
  <w:endnote w:id="4">
    <w:p w14:paraId="7DEFCD3F" w14:textId="77777777" w:rsidR="00F35B05" w:rsidRDefault="00F35B05" w:rsidP="00927C6E">
      <w:pPr>
        <w:pStyle w:val="EndnoteText"/>
      </w:pPr>
      <w:r>
        <w:rPr>
          <w:rStyle w:val="EndnoteReference"/>
        </w:rPr>
        <w:endnoteRef/>
      </w:r>
      <w:r>
        <w:t xml:space="preserve"> </w:t>
      </w:r>
      <w:r w:rsidRPr="00CD75A7">
        <w:t xml:space="preserve">DHW Commissioning and Control System for Lodging Facilities </w:t>
      </w:r>
      <w:proofErr w:type="spellStart"/>
      <w:r w:rsidRPr="00CD75A7">
        <w:t>Workpaper</w:t>
      </w:r>
      <w:proofErr w:type="spellEnd"/>
      <w:r w:rsidRPr="00CD75A7">
        <w:t xml:space="preserve"> for PY2007-2008, prepared by Energy and Environmen</w:t>
      </w:r>
      <w:r>
        <w:t>t</w:t>
      </w:r>
      <w:r w:rsidRPr="00CD75A7">
        <w:t>al Analysis, Inc., for Southern California Gas Company, March 2008</w:t>
      </w:r>
    </w:p>
  </w:endnote>
  <w:endnote w:id="5">
    <w:p w14:paraId="7DEFCD40" w14:textId="77777777" w:rsidR="00F35B05" w:rsidRPr="00FC3A56" w:rsidRDefault="00F35B05" w:rsidP="003C3B75">
      <w:pPr>
        <w:autoSpaceDE w:val="0"/>
        <w:autoSpaceDN w:val="0"/>
        <w:adjustRightInd w:val="0"/>
        <w:rPr>
          <w:rFonts w:cs="Arial"/>
          <w:sz w:val="20"/>
          <w:szCs w:val="20"/>
        </w:rPr>
      </w:pPr>
      <w:r>
        <w:rPr>
          <w:rStyle w:val="EndnoteReference"/>
        </w:rPr>
        <w:endnoteRef/>
      </w:r>
      <w:r>
        <w:t xml:space="preserve"> </w:t>
      </w:r>
      <w:r w:rsidRPr="00FC3A56">
        <w:rPr>
          <w:rFonts w:cs="Arial"/>
          <w:sz w:val="20"/>
          <w:szCs w:val="20"/>
        </w:rPr>
        <w:t>2009 California Residential Appliance Saturation Survey (RASS), Volume 2 - Study Results, Table 2-21 - Gas UECs by Residence Type for all Households and for Households with Gas</w:t>
      </w:r>
    </w:p>
    <w:p w14:paraId="7DEFCD41" w14:textId="77777777" w:rsidR="00F35B05" w:rsidRDefault="00F35B05" w:rsidP="003C3B75">
      <w:pPr>
        <w:pStyle w:val="EndnoteText"/>
      </w:pPr>
      <w:r w:rsidRPr="00FC3A56">
        <w:rPr>
          <w:rFonts w:cs="Arial"/>
        </w:rPr>
        <w:t xml:space="preserve">Account Data, </w:t>
      </w:r>
      <w:hyperlink r:id="rId4" w:history="1">
        <w:r w:rsidRPr="00FC3A56">
          <w:rPr>
            <w:rStyle w:val="Hyperlink"/>
            <w:rFonts w:cs="Arial"/>
          </w:rPr>
          <w:t>http://www.energy.ca.gov/2010publications/CEC-200-2010-004/CEC-200-2010-004-V2.PDF</w:t>
        </w:r>
      </w:hyperlink>
    </w:p>
  </w:endnote>
  <w:endnote w:id="6">
    <w:p w14:paraId="7DEFCD42" w14:textId="0F8E895A" w:rsidR="00F35B05" w:rsidRDefault="00F35B05">
      <w:pPr>
        <w:pStyle w:val="EndnoteText"/>
      </w:pPr>
      <w:r>
        <w:rPr>
          <w:rStyle w:val="EndnoteReference"/>
        </w:rPr>
        <w:endnoteRef/>
      </w:r>
      <w:r>
        <w:t xml:space="preserve"> </w:t>
      </w:r>
      <w:r w:rsidRPr="0077100D">
        <w:rPr>
          <w:rFonts w:cs="Arial"/>
        </w:rPr>
        <w:t xml:space="preserve">2013 California </w:t>
      </w:r>
      <w:r>
        <w:rPr>
          <w:rFonts w:cs="Arial"/>
        </w:rPr>
        <w:t xml:space="preserve">Title 24 </w:t>
      </w:r>
      <w:r w:rsidRPr="0077100D">
        <w:rPr>
          <w:rFonts w:cs="Arial"/>
        </w:rPr>
        <w:t>Building</w:t>
      </w:r>
      <w:r>
        <w:rPr>
          <w:rFonts w:cs="Arial"/>
        </w:rPr>
        <w:t xml:space="preserve"> Efficiency Standards</w:t>
      </w:r>
      <w:r w:rsidRPr="0077100D">
        <w:rPr>
          <w:rFonts w:cs="Arial"/>
        </w:rPr>
        <w:t xml:space="preserve">, Guest Room Occupancy Controls, Section 3.1.1 - Hotel Prototype, and Section 3.1.2 - Motel Prototype, October 2011, </w:t>
      </w:r>
      <w:hyperlink r:id="rId5" w:history="1">
        <w:r w:rsidRPr="0077100D">
          <w:rPr>
            <w:rStyle w:val="Hyperlink"/>
            <w:rFonts w:cs="Arial"/>
          </w:rPr>
          <w:t>http://www.energy.ca.gov/title24/2013standards/prerulemaking/documents/current/Reports/nonresidential/Lighting_Controls_Bldg_Power/2013_CASE_NR_Guest_Room_Occupancy_Controls_Oct_2011.pdf</w:t>
        </w:r>
      </w:hyperlink>
    </w:p>
  </w:endnote>
  <w:endnote w:id="7">
    <w:p w14:paraId="7DEFCD43" w14:textId="77777777" w:rsidR="00F35B05" w:rsidRPr="00F72C83" w:rsidRDefault="00F35B05" w:rsidP="00F72C83">
      <w:pPr>
        <w:rPr>
          <w:rFonts w:cs="Arial"/>
          <w:sz w:val="20"/>
          <w:szCs w:val="20"/>
        </w:rPr>
      </w:pPr>
      <w:r>
        <w:rPr>
          <w:rStyle w:val="EndnoteReference"/>
        </w:rPr>
        <w:endnoteRef/>
      </w:r>
      <w:r>
        <w:t xml:space="preserve"> </w:t>
      </w:r>
      <w:r w:rsidRPr="00F72C83">
        <w:rPr>
          <w:rFonts w:cs="Arial"/>
          <w:sz w:val="20"/>
          <w:szCs w:val="20"/>
        </w:rPr>
        <w:t xml:space="preserve">2006 California Commercial End-Use Survey (CEUS), PG&amp;E Results by Segment, Table 9-29, Lodging Natural Gas EUIs, Fuel Shares, and EIs, Page 192, </w:t>
      </w:r>
      <w:hyperlink r:id="rId6" w:history="1">
        <w:r w:rsidRPr="00F72C83">
          <w:rPr>
            <w:rStyle w:val="Hyperlink"/>
            <w:rFonts w:cs="Arial"/>
            <w:sz w:val="20"/>
            <w:szCs w:val="20"/>
          </w:rPr>
          <w:t>http://www.energy.ca.gov/2006publications/CEC-400-2006-005/CEC-400-2006-005.PDF</w:t>
        </w:r>
      </w:hyperlink>
    </w:p>
  </w:endnote>
  <w:endnote w:id="8">
    <w:p w14:paraId="7DEFCD44" w14:textId="180BF985" w:rsidR="00F35B05" w:rsidRDefault="00F35B05">
      <w:pPr>
        <w:pStyle w:val="EndnoteText"/>
      </w:pPr>
      <w:r>
        <w:rPr>
          <w:rStyle w:val="EndnoteReference"/>
        </w:rPr>
        <w:endnoteRef/>
      </w:r>
      <w:r>
        <w:t xml:space="preserve"> </w:t>
      </w:r>
      <w:r w:rsidRPr="00E84ED0">
        <w:rPr>
          <w:rFonts w:cs="Arial"/>
        </w:rPr>
        <w:t xml:space="preserve">2013 California </w:t>
      </w:r>
      <w:r>
        <w:rPr>
          <w:rFonts w:cs="Arial"/>
        </w:rPr>
        <w:t xml:space="preserve">Title 24 </w:t>
      </w:r>
      <w:r w:rsidRPr="00E84ED0">
        <w:rPr>
          <w:rFonts w:cs="Arial"/>
        </w:rPr>
        <w:t>Building</w:t>
      </w:r>
      <w:r>
        <w:rPr>
          <w:rFonts w:cs="Arial"/>
        </w:rPr>
        <w:t xml:space="preserve"> Efficiency Standards </w:t>
      </w:r>
      <w:r w:rsidRPr="00E84ED0">
        <w:rPr>
          <w:rFonts w:cs="Arial"/>
        </w:rPr>
        <w:t xml:space="preserve">, Water and Space Heating ACM Improvement, Section 4.2.1 - DHW Recirculation System Performance Algorithms, October 2011, </w:t>
      </w:r>
      <w:hyperlink r:id="rId7" w:history="1">
        <w:r w:rsidRPr="00E84ED0">
          <w:rPr>
            <w:rStyle w:val="Hyperlink"/>
            <w:rFonts w:cs="Arial"/>
          </w:rPr>
          <w:t>http://www.energy.ca.gov/title24/2013standards/prerulemaking/documents/current/Reports/nonresidential/HVAC/2013_CASE_WH4_Space-and-WaterHeating_10.28.2011.pdf</w:t>
        </w:r>
      </w:hyperlink>
    </w:p>
  </w:endnote>
  <w:endnote w:id="9">
    <w:p w14:paraId="7DEFCD45" w14:textId="3A9A183E" w:rsidR="00F35B05" w:rsidRDefault="00F35B05" w:rsidP="00927C6E">
      <w:pPr>
        <w:rPr>
          <w:rStyle w:val="Hyperlink"/>
          <w:rFonts w:cs="Arial"/>
          <w:sz w:val="20"/>
          <w:szCs w:val="20"/>
        </w:rPr>
      </w:pPr>
      <w:r>
        <w:rPr>
          <w:rStyle w:val="EndnoteReference"/>
        </w:rPr>
        <w:endnoteRef/>
      </w:r>
      <w:r>
        <w:t xml:space="preserve"> </w:t>
      </w:r>
      <w:r w:rsidRPr="00903383">
        <w:rPr>
          <w:rFonts w:cs="Arial"/>
          <w:sz w:val="20"/>
          <w:szCs w:val="20"/>
        </w:rPr>
        <w:t xml:space="preserve">2013 California </w:t>
      </w:r>
      <w:r>
        <w:rPr>
          <w:rFonts w:cs="Arial"/>
          <w:sz w:val="20"/>
          <w:szCs w:val="20"/>
        </w:rPr>
        <w:t xml:space="preserve">Title 24 </w:t>
      </w:r>
      <w:r w:rsidRPr="00903383">
        <w:rPr>
          <w:rFonts w:cs="Arial"/>
          <w:sz w:val="20"/>
          <w:szCs w:val="20"/>
        </w:rPr>
        <w:t>Building</w:t>
      </w:r>
      <w:r>
        <w:rPr>
          <w:rFonts w:cs="Arial"/>
          <w:sz w:val="20"/>
          <w:szCs w:val="20"/>
        </w:rPr>
        <w:t xml:space="preserve"> Efficiency Standards</w:t>
      </w:r>
      <w:r w:rsidRPr="00903383">
        <w:rPr>
          <w:rFonts w:cs="Arial"/>
          <w:sz w:val="20"/>
          <w:szCs w:val="20"/>
        </w:rPr>
        <w:t xml:space="preserve">, Water and Space Heating ACM Improvement, Table RE-4 - Recirculation Loop Supply temperature and Pump Operation Schedule, October 2011, </w:t>
      </w:r>
      <w:hyperlink r:id="rId8" w:history="1">
        <w:r w:rsidRPr="00903383">
          <w:rPr>
            <w:rStyle w:val="Hyperlink"/>
            <w:rFonts w:cs="Arial"/>
            <w:sz w:val="20"/>
            <w:szCs w:val="20"/>
          </w:rPr>
          <w:t>http://www.energy.ca.gov/title24/2013standards/prerulemaking/documents/current/Reports/nonresidential/HVAC/2013_CASE_WH4_Space-and-WaterHeating_10.28.2011.pdf</w:t>
        </w:r>
      </w:hyperlink>
    </w:p>
    <w:p w14:paraId="25096E61" w14:textId="43140523" w:rsidR="00F35B05" w:rsidRPr="00927C6E" w:rsidRDefault="00F35B05" w:rsidP="00927C6E">
      <w:pPr>
        <w:rPr>
          <w:rFonts w:cs="Arial"/>
          <w:b/>
          <w:i/>
          <w:sz w:val="24"/>
        </w:rPr>
      </w:pPr>
      <w:r>
        <w:rPr>
          <w:rStyle w:val="EndnoteReference"/>
        </w:rPr>
        <w:t>10</w:t>
      </w:r>
      <w:r>
        <w:t xml:space="preserve"> </w:t>
      </w:r>
      <w:r>
        <w:rPr>
          <w:rFonts w:cs="Arial"/>
        </w:rPr>
        <w:t>2016</w:t>
      </w:r>
      <w:r w:rsidRPr="00E84ED0">
        <w:rPr>
          <w:rFonts w:cs="Arial"/>
        </w:rPr>
        <w:t xml:space="preserve"> </w:t>
      </w:r>
      <w:proofErr w:type="spellStart"/>
      <w:r>
        <w:rPr>
          <w:rFonts w:cs="Arial"/>
        </w:rPr>
        <w:t>RSMeans</w:t>
      </w:r>
      <w:proofErr w:type="spellEnd"/>
      <w:r w:rsidRPr="00E84ED0">
        <w:rPr>
          <w:rFonts w:cs="Arial"/>
        </w:rPr>
        <w:t xml:space="preserve">, </w:t>
      </w:r>
      <w:r w:rsidRPr="00063277">
        <w:rPr>
          <w:rFonts w:cs="Arial"/>
        </w:rPr>
        <w:t>Control component, sensor, electric operated, temperature</w:t>
      </w:r>
      <w:r>
        <w:rPr>
          <w:rFonts w:cs="Arial"/>
        </w:rPr>
        <w:t>;</w:t>
      </w:r>
      <w:r w:rsidRPr="00E84ED0">
        <w:rPr>
          <w:rFonts w:cs="Arial"/>
        </w:rPr>
        <w:t xml:space="preserve"> </w:t>
      </w:r>
      <w:r>
        <w:rPr>
          <w:rFonts w:cs="Arial"/>
        </w:rPr>
        <w:t>Electrician - 0.8 hour equals $44.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2" w14:textId="77777777" w:rsidR="00F35B05" w:rsidRDefault="00F35B0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FCD23" w14:textId="77777777" w:rsidR="00F35B05" w:rsidRDefault="00F35B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4" w14:textId="77777777" w:rsidR="00F35B05" w:rsidRPr="00846195" w:rsidRDefault="00F35B0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7DEFCD25" w14:textId="77777777" w:rsidR="00F35B05" w:rsidRDefault="00F35B05"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7DEFCD26" w14:textId="77777777" w:rsidR="00F35B05" w:rsidRDefault="00F35B05" w:rsidP="00D7047A">
    <w:pPr>
      <w:pStyle w:val="Footer"/>
      <w:rPr>
        <w:b/>
        <w:sz w:val="20"/>
        <w:szCs w:val="20"/>
      </w:rPr>
    </w:pPr>
    <w:r>
      <w:rPr>
        <w:b/>
        <w:sz w:val="20"/>
        <w:szCs w:val="20"/>
      </w:rPr>
      <w:t>Pacific Gas &amp; Electric Company</w:t>
    </w:r>
  </w:p>
  <w:p w14:paraId="7DEFCD27" w14:textId="77777777" w:rsidR="00F35B05" w:rsidRPr="00844B27" w:rsidRDefault="00F35B0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PGECODHW115 R2 062614.docx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9" w14:textId="7A811F84" w:rsidR="00F35B05" w:rsidRPr="002E0E3F" w:rsidRDefault="00F35B05" w:rsidP="00274A7E">
    <w:pPr>
      <w:pStyle w:val="Footer"/>
      <w:jc w:val="right"/>
      <w:rPr>
        <w:rFonts w:cs="Arial"/>
        <w:b/>
        <w:sz w:val="36"/>
        <w:szCs w:val="36"/>
      </w:rPr>
    </w:pPr>
    <w:r>
      <w:rPr>
        <w:rFonts w:cs="Arial"/>
        <w:b/>
        <w:sz w:val="36"/>
        <w:szCs w:val="36"/>
      </w:rPr>
      <w:t xml:space="preserve">04/01/2017 </w:t>
    </w:r>
  </w:p>
  <w:p w14:paraId="7DEFCD2A" w14:textId="77777777" w:rsidR="00F35B05" w:rsidRDefault="00F35B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E" w14:textId="77777777" w:rsidR="00F35B05" w:rsidRDefault="00F35B0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FCD2F" w14:textId="77777777" w:rsidR="00F35B05" w:rsidRDefault="00F35B0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30" w14:textId="28C25E89" w:rsidR="00F35B05" w:rsidRPr="00F143CD" w:rsidRDefault="00F35B05" w:rsidP="00C747DF">
    <w:pPr>
      <w:pStyle w:val="Footer"/>
      <w:pBdr>
        <w:top w:val="single" w:sz="4" w:space="1" w:color="auto"/>
      </w:pBdr>
      <w:tabs>
        <w:tab w:val="clear" w:pos="4320"/>
        <w:tab w:val="clear" w:pos="8640"/>
        <w:tab w:val="right" w:pos="9360"/>
      </w:tabs>
      <w:rPr>
        <w:b/>
        <w:color w:val="000000" w:themeColor="text1"/>
        <w:sz w:val="20"/>
        <w:szCs w:val="20"/>
      </w:rPr>
    </w:pPr>
    <w:r w:rsidRPr="00F143CD">
      <w:rPr>
        <w:b/>
        <w:color w:val="000000" w:themeColor="text1"/>
        <w:sz w:val="20"/>
        <w:szCs w:val="20"/>
      </w:rPr>
      <w:t>PGECO</w:t>
    </w:r>
    <w:r>
      <w:rPr>
        <w:b/>
        <w:color w:val="000000" w:themeColor="text1"/>
        <w:sz w:val="20"/>
        <w:szCs w:val="20"/>
      </w:rPr>
      <w:t>DHW115</w:t>
    </w:r>
    <w:r w:rsidRPr="00F143CD">
      <w:rPr>
        <w:b/>
        <w:color w:val="000000" w:themeColor="text1"/>
        <w:sz w:val="20"/>
        <w:szCs w:val="20"/>
      </w:rPr>
      <w:t xml:space="preserve"> Boil</w:t>
    </w:r>
    <w:r>
      <w:rPr>
        <w:b/>
        <w:color w:val="000000" w:themeColor="text1"/>
        <w:sz w:val="20"/>
        <w:szCs w:val="20"/>
      </w:rPr>
      <w:t>er Controller Work Paper, Rev. 4</w:t>
    </w:r>
    <w:r>
      <w:rPr>
        <w:b/>
        <w:color w:val="000000" w:themeColor="text1"/>
        <w:sz w:val="20"/>
        <w:szCs w:val="20"/>
      </w:rPr>
      <w:tab/>
      <w:t>Last Revised 04/01/2017</w:t>
    </w:r>
  </w:p>
  <w:p w14:paraId="7DEFCD31" w14:textId="77777777" w:rsidR="00F35B05" w:rsidRPr="00F143CD" w:rsidRDefault="00F35B05" w:rsidP="00D7047A">
    <w:pPr>
      <w:pStyle w:val="Footer"/>
      <w:rPr>
        <w:b/>
        <w:color w:val="000000" w:themeColor="text1"/>
        <w:sz w:val="20"/>
        <w:szCs w:val="20"/>
      </w:rPr>
    </w:pPr>
    <w:r w:rsidRPr="00F143CD">
      <w:rPr>
        <w:b/>
        <w:color w:val="000000" w:themeColor="text1"/>
        <w:sz w:val="20"/>
        <w:szCs w:val="20"/>
      </w:rPr>
      <w:t>Pacific Gas &amp; Electric Company</w:t>
    </w:r>
  </w:p>
  <w:p w14:paraId="7DEFCD32" w14:textId="383B56EF" w:rsidR="00F35B05" w:rsidRPr="00F143CD" w:rsidRDefault="00F35B05" w:rsidP="00C747DF">
    <w:pPr>
      <w:pStyle w:val="Footer"/>
      <w:tabs>
        <w:tab w:val="clear" w:pos="4320"/>
        <w:tab w:val="clear" w:pos="8640"/>
        <w:tab w:val="right" w:pos="9360"/>
      </w:tabs>
      <w:rPr>
        <w:b/>
        <w:color w:val="000000" w:themeColor="text1"/>
        <w:sz w:val="20"/>
        <w:szCs w:val="20"/>
      </w:rPr>
    </w:pPr>
    <w:r w:rsidRPr="00F143CD">
      <w:rPr>
        <w:b/>
        <w:color w:val="000000" w:themeColor="text1"/>
        <w:sz w:val="20"/>
        <w:szCs w:val="20"/>
      </w:rPr>
      <w:fldChar w:fldCharType="begin"/>
    </w:r>
    <w:r w:rsidRPr="00F143CD">
      <w:rPr>
        <w:b/>
        <w:color w:val="000000" w:themeColor="text1"/>
        <w:sz w:val="20"/>
        <w:szCs w:val="20"/>
      </w:rPr>
      <w:instrText xml:space="preserve"> FILENAME </w:instrText>
    </w:r>
    <w:r w:rsidRPr="00F143CD">
      <w:rPr>
        <w:b/>
        <w:color w:val="000000" w:themeColor="text1"/>
        <w:sz w:val="20"/>
        <w:szCs w:val="20"/>
      </w:rPr>
      <w:fldChar w:fldCharType="separate"/>
    </w:r>
    <w:r>
      <w:rPr>
        <w:b/>
        <w:noProof/>
        <w:color w:val="000000" w:themeColor="text1"/>
        <w:sz w:val="20"/>
        <w:szCs w:val="20"/>
      </w:rPr>
      <w:t>PGECODHW115 R4 040117.docx</w:t>
    </w:r>
    <w:r w:rsidRPr="00F143CD">
      <w:rPr>
        <w:b/>
        <w:color w:val="000000" w:themeColor="text1"/>
        <w:sz w:val="20"/>
        <w:szCs w:val="20"/>
      </w:rPr>
      <w:fldChar w:fldCharType="end"/>
    </w:r>
    <w:r w:rsidRPr="00F143CD">
      <w:rPr>
        <w:b/>
        <w:color w:val="000000" w:themeColor="text1"/>
        <w:sz w:val="20"/>
        <w:szCs w:val="20"/>
      </w:rPr>
      <w:tab/>
    </w:r>
    <w:r>
      <w:rPr>
        <w:b/>
        <w:color w:val="000000" w:themeColor="text1"/>
        <w:sz w:val="20"/>
        <w:szCs w:val="20"/>
      </w:rPr>
      <w:fldChar w:fldCharType="begin"/>
    </w:r>
    <w:r>
      <w:rPr>
        <w:b/>
        <w:color w:val="000000" w:themeColor="text1"/>
        <w:sz w:val="20"/>
        <w:szCs w:val="20"/>
      </w:rPr>
      <w:instrText xml:space="preserve"> PAGE  \* roman  \* MERGEFORMAT </w:instrText>
    </w:r>
    <w:r>
      <w:rPr>
        <w:b/>
        <w:color w:val="000000" w:themeColor="text1"/>
        <w:sz w:val="20"/>
        <w:szCs w:val="20"/>
      </w:rPr>
      <w:fldChar w:fldCharType="separate"/>
    </w:r>
    <w:r w:rsidR="007C0053">
      <w:rPr>
        <w:b/>
        <w:noProof/>
        <w:color w:val="000000" w:themeColor="text1"/>
        <w:sz w:val="20"/>
        <w:szCs w:val="20"/>
      </w:rPr>
      <w:t>iv</w:t>
    </w:r>
    <w:r>
      <w:rPr>
        <w:b/>
        <w:color w:val="000000" w:themeColor="text1"/>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34" w14:textId="77777777" w:rsidR="00F35B05" w:rsidRPr="002E0E3F" w:rsidRDefault="00F35B05" w:rsidP="00D7047A">
    <w:pPr>
      <w:pStyle w:val="Footer"/>
      <w:jc w:val="right"/>
      <w:rPr>
        <w:rFonts w:cs="Arial"/>
        <w:b/>
        <w:sz w:val="36"/>
        <w:szCs w:val="36"/>
      </w:rPr>
    </w:pPr>
    <w:r>
      <w:rPr>
        <w:rFonts w:cs="Arial"/>
        <w:b/>
        <w:sz w:val="36"/>
        <w:szCs w:val="36"/>
      </w:rPr>
      <w:t>Date of Last Revision</w:t>
    </w:r>
  </w:p>
  <w:p w14:paraId="7DEFCD35" w14:textId="77777777" w:rsidR="00F35B05" w:rsidRDefault="00F35B0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36" w14:textId="39BF529E" w:rsidR="00F35B05" w:rsidRPr="00F143CD" w:rsidRDefault="00F35B05" w:rsidP="00C747DF">
    <w:pPr>
      <w:pStyle w:val="Footer"/>
      <w:pBdr>
        <w:top w:val="single" w:sz="4" w:space="1" w:color="auto"/>
      </w:pBdr>
      <w:tabs>
        <w:tab w:val="clear" w:pos="4320"/>
        <w:tab w:val="clear" w:pos="8640"/>
        <w:tab w:val="right" w:pos="9360"/>
      </w:tabs>
      <w:rPr>
        <w:b/>
        <w:color w:val="000000" w:themeColor="text1"/>
        <w:sz w:val="20"/>
        <w:szCs w:val="20"/>
      </w:rPr>
    </w:pPr>
    <w:r w:rsidRPr="00F143CD">
      <w:rPr>
        <w:b/>
        <w:color w:val="000000" w:themeColor="text1"/>
        <w:sz w:val="20"/>
        <w:szCs w:val="20"/>
      </w:rPr>
      <w:t>PGECO</w:t>
    </w:r>
    <w:r>
      <w:rPr>
        <w:b/>
        <w:color w:val="000000" w:themeColor="text1"/>
        <w:sz w:val="20"/>
        <w:szCs w:val="20"/>
      </w:rPr>
      <w:t>DHW115</w:t>
    </w:r>
    <w:r w:rsidRPr="00F143CD">
      <w:rPr>
        <w:b/>
        <w:color w:val="000000" w:themeColor="text1"/>
        <w:sz w:val="20"/>
        <w:szCs w:val="20"/>
      </w:rPr>
      <w:t xml:space="preserve"> Boil</w:t>
    </w:r>
    <w:r>
      <w:rPr>
        <w:b/>
        <w:color w:val="000000" w:themeColor="text1"/>
        <w:sz w:val="20"/>
        <w:szCs w:val="20"/>
      </w:rPr>
      <w:t>er Controller Work Paper, Rev. 3</w:t>
    </w:r>
    <w:r>
      <w:rPr>
        <w:b/>
        <w:color w:val="000000" w:themeColor="text1"/>
        <w:sz w:val="20"/>
        <w:szCs w:val="20"/>
      </w:rPr>
      <w:tab/>
      <w:t>Last Revised 04/01/2016</w:t>
    </w:r>
  </w:p>
  <w:p w14:paraId="7DEFCD37" w14:textId="77777777" w:rsidR="00F35B05" w:rsidRPr="00F143CD" w:rsidRDefault="00F35B05" w:rsidP="00D7047A">
    <w:pPr>
      <w:pStyle w:val="Footer"/>
      <w:rPr>
        <w:b/>
        <w:color w:val="000000" w:themeColor="text1"/>
        <w:sz w:val="20"/>
        <w:szCs w:val="20"/>
      </w:rPr>
    </w:pPr>
    <w:r w:rsidRPr="00F143CD">
      <w:rPr>
        <w:b/>
        <w:color w:val="000000" w:themeColor="text1"/>
        <w:sz w:val="20"/>
        <w:szCs w:val="20"/>
      </w:rPr>
      <w:t>Pacific Gas &amp; Electric Company</w:t>
    </w:r>
  </w:p>
  <w:p w14:paraId="7DEFCD38" w14:textId="5D6A2611" w:rsidR="00F35B05" w:rsidRPr="00F143CD" w:rsidRDefault="00F35B05" w:rsidP="00C747DF">
    <w:pPr>
      <w:pStyle w:val="Footer"/>
      <w:tabs>
        <w:tab w:val="clear" w:pos="4320"/>
        <w:tab w:val="clear" w:pos="8640"/>
        <w:tab w:val="right" w:pos="9360"/>
      </w:tabs>
      <w:rPr>
        <w:b/>
        <w:color w:val="000000" w:themeColor="text1"/>
        <w:sz w:val="20"/>
        <w:szCs w:val="20"/>
      </w:rPr>
    </w:pPr>
    <w:r w:rsidRPr="00F143CD">
      <w:rPr>
        <w:b/>
        <w:color w:val="000000" w:themeColor="text1"/>
        <w:sz w:val="20"/>
        <w:szCs w:val="20"/>
      </w:rPr>
      <w:fldChar w:fldCharType="begin"/>
    </w:r>
    <w:r w:rsidRPr="00F143CD">
      <w:rPr>
        <w:b/>
        <w:color w:val="000000" w:themeColor="text1"/>
        <w:sz w:val="20"/>
        <w:szCs w:val="20"/>
      </w:rPr>
      <w:instrText xml:space="preserve"> FILENAME </w:instrText>
    </w:r>
    <w:r w:rsidRPr="00F143CD">
      <w:rPr>
        <w:b/>
        <w:color w:val="000000" w:themeColor="text1"/>
        <w:sz w:val="20"/>
        <w:szCs w:val="20"/>
      </w:rPr>
      <w:fldChar w:fldCharType="separate"/>
    </w:r>
    <w:r>
      <w:rPr>
        <w:b/>
        <w:noProof/>
        <w:color w:val="000000" w:themeColor="text1"/>
        <w:sz w:val="20"/>
        <w:szCs w:val="20"/>
      </w:rPr>
      <w:t>PGECODHW115 R3 04012016.docx</w:t>
    </w:r>
    <w:r w:rsidRPr="00F143CD">
      <w:rPr>
        <w:b/>
        <w:color w:val="000000" w:themeColor="text1"/>
        <w:sz w:val="20"/>
        <w:szCs w:val="20"/>
      </w:rPr>
      <w:fldChar w:fldCharType="end"/>
    </w:r>
    <w:r w:rsidRPr="00F143CD">
      <w:rPr>
        <w:b/>
        <w:color w:val="000000" w:themeColor="text1"/>
        <w:sz w:val="20"/>
        <w:szCs w:val="20"/>
      </w:rPr>
      <w:tab/>
    </w:r>
    <w:r>
      <w:rPr>
        <w:b/>
        <w:color w:val="000000" w:themeColor="text1"/>
        <w:sz w:val="20"/>
        <w:szCs w:val="20"/>
      </w:rPr>
      <w:fldChar w:fldCharType="begin"/>
    </w:r>
    <w:r>
      <w:rPr>
        <w:b/>
        <w:color w:val="000000" w:themeColor="text1"/>
        <w:sz w:val="20"/>
        <w:szCs w:val="20"/>
      </w:rPr>
      <w:instrText xml:space="preserve"> PAGE  \* Arabic  \* MERGEFORMAT </w:instrText>
    </w:r>
    <w:r>
      <w:rPr>
        <w:b/>
        <w:color w:val="000000" w:themeColor="text1"/>
        <w:sz w:val="20"/>
        <w:szCs w:val="20"/>
      </w:rPr>
      <w:fldChar w:fldCharType="separate"/>
    </w:r>
    <w:r w:rsidR="007C0053">
      <w:rPr>
        <w:b/>
        <w:noProof/>
        <w:color w:val="000000" w:themeColor="text1"/>
        <w:sz w:val="20"/>
        <w:szCs w:val="20"/>
      </w:rPr>
      <w:t>8</w:t>
    </w:r>
    <w:r>
      <w:rPr>
        <w:b/>
        <w:color w:val="000000" w:themeColor="tex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8D40B" w14:textId="77777777" w:rsidR="006C03F8" w:rsidRDefault="006C03F8">
      <w:r>
        <w:separator/>
      </w:r>
    </w:p>
    <w:p w14:paraId="21DB5874" w14:textId="77777777" w:rsidR="006C03F8" w:rsidRDefault="006C03F8"/>
  </w:footnote>
  <w:footnote w:type="continuationSeparator" w:id="0">
    <w:p w14:paraId="1CECA635" w14:textId="77777777" w:rsidR="006C03F8" w:rsidRDefault="006C03F8">
      <w:r>
        <w:continuationSeparator/>
      </w:r>
    </w:p>
    <w:p w14:paraId="3DB111C0" w14:textId="77777777" w:rsidR="006C03F8" w:rsidRDefault="006C03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1F" w14:textId="77777777" w:rsidR="00F35B05" w:rsidRDefault="00F35B05">
    <w:pPr>
      <w:pStyle w:val="Header"/>
    </w:pPr>
    <w:r>
      <w:rPr>
        <w:noProof/>
      </w:rPr>
      <w:pict w14:anchorId="7DEFCD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0" w14:textId="77777777" w:rsidR="00F35B05" w:rsidRDefault="00F35B05" w:rsidP="001A573F">
    <w:pPr>
      <w:pStyle w:val="Header"/>
      <w:jc w:val="right"/>
    </w:pPr>
  </w:p>
  <w:p w14:paraId="7DEFCD21" w14:textId="77777777" w:rsidR="00F35B05" w:rsidRDefault="00F35B0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B" w14:textId="77777777" w:rsidR="00F35B05" w:rsidRDefault="00F35B05">
    <w:pPr>
      <w:pStyle w:val="Header"/>
    </w:pPr>
    <w:r>
      <w:rPr>
        <w:noProof/>
      </w:rPr>
      <w:pict w14:anchorId="7DEFCD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2C" w14:textId="77777777" w:rsidR="00F35B05" w:rsidRDefault="00F35B05" w:rsidP="006F35A2">
    <w:pPr>
      <w:pStyle w:val="Header"/>
      <w:tabs>
        <w:tab w:val="left" w:pos="5520"/>
      </w:tabs>
    </w:pPr>
    <w:r>
      <w:tab/>
    </w:r>
    <w:r>
      <w:tab/>
    </w:r>
    <w:r>
      <w:tab/>
    </w:r>
  </w:p>
  <w:p w14:paraId="7DEFCD2D" w14:textId="77777777" w:rsidR="00F35B05" w:rsidRDefault="00F35B0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CD33" w14:textId="77777777" w:rsidR="00F35B05" w:rsidRDefault="00F35B05">
    <w:pPr>
      <w:pStyle w:val="Header"/>
    </w:pPr>
    <w:r>
      <w:rPr>
        <w:noProof/>
      </w:rPr>
      <w:pict w14:anchorId="7DEFCD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267461F"/>
    <w:multiLevelType w:val="hybridMultilevel"/>
    <w:tmpl w:val="BB60F7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753A14"/>
    <w:multiLevelType w:val="hybridMultilevel"/>
    <w:tmpl w:val="855469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F901E3"/>
    <w:multiLevelType w:val="hybridMultilevel"/>
    <w:tmpl w:val="FCFCF9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103E4F"/>
    <w:multiLevelType w:val="hybridMultilevel"/>
    <w:tmpl w:val="4D7AD7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22E774E"/>
    <w:multiLevelType w:val="hybridMultilevel"/>
    <w:tmpl w:val="639236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5A343E2A"/>
    <w:multiLevelType w:val="hybridMultilevel"/>
    <w:tmpl w:val="841EF2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217AF1"/>
    <w:multiLevelType w:val="hybridMultilevel"/>
    <w:tmpl w:val="841EF2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14267C0"/>
    <w:multiLevelType w:val="hybridMultilevel"/>
    <w:tmpl w:val="109C7B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6C16EF"/>
    <w:multiLevelType w:val="hybridMultilevel"/>
    <w:tmpl w:val="109C7B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8D12972"/>
    <w:multiLevelType w:val="hybridMultilevel"/>
    <w:tmpl w:val="841EF2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6"/>
  </w:num>
  <w:num w:numId="5">
    <w:abstractNumId w:val="25"/>
  </w:num>
  <w:num w:numId="6">
    <w:abstractNumId w:val="8"/>
  </w:num>
  <w:num w:numId="7">
    <w:abstractNumId w:val="5"/>
  </w:num>
  <w:num w:numId="8">
    <w:abstractNumId w:val="14"/>
  </w:num>
  <w:num w:numId="9">
    <w:abstractNumId w:val="7"/>
  </w:num>
  <w:num w:numId="10">
    <w:abstractNumId w:val="1"/>
  </w:num>
  <w:num w:numId="11">
    <w:abstractNumId w:val="18"/>
  </w:num>
  <w:num w:numId="12">
    <w:abstractNumId w:val="21"/>
  </w:num>
  <w:num w:numId="13">
    <w:abstractNumId w:val="3"/>
  </w:num>
  <w:num w:numId="14">
    <w:abstractNumId w:val="28"/>
  </w:num>
  <w:num w:numId="15">
    <w:abstractNumId w:val="15"/>
  </w:num>
  <w:num w:numId="16">
    <w:abstractNumId w:val="16"/>
  </w:num>
  <w:num w:numId="17">
    <w:abstractNumId w:val="0"/>
  </w:num>
  <w:num w:numId="18">
    <w:abstractNumId w:val="27"/>
  </w:num>
  <w:num w:numId="19">
    <w:abstractNumId w:val="23"/>
  </w:num>
  <w:num w:numId="20">
    <w:abstractNumId w:val="9"/>
  </w:num>
  <w:num w:numId="21">
    <w:abstractNumId w:val="10"/>
  </w:num>
  <w:num w:numId="22">
    <w:abstractNumId w:val="26"/>
  </w:num>
  <w:num w:numId="23">
    <w:abstractNumId w:val="24"/>
  </w:num>
  <w:num w:numId="24">
    <w:abstractNumId w:val="19"/>
  </w:num>
  <w:num w:numId="25">
    <w:abstractNumId w:val="17"/>
  </w:num>
  <w:num w:numId="26">
    <w:abstractNumId w:val="20"/>
  </w:num>
  <w:num w:numId="27">
    <w:abstractNumId w:val="12"/>
  </w:num>
  <w:num w:numId="28">
    <w:abstractNumId w:val="1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F4E"/>
    <w:rsid w:val="00003527"/>
    <w:rsid w:val="00004C6C"/>
    <w:rsid w:val="00005E70"/>
    <w:rsid w:val="00006B5C"/>
    <w:rsid w:val="00007A30"/>
    <w:rsid w:val="00010220"/>
    <w:rsid w:val="00011081"/>
    <w:rsid w:val="00012F86"/>
    <w:rsid w:val="00013A35"/>
    <w:rsid w:val="00014740"/>
    <w:rsid w:val="000170B5"/>
    <w:rsid w:val="00017488"/>
    <w:rsid w:val="00017C9F"/>
    <w:rsid w:val="00020042"/>
    <w:rsid w:val="0002129F"/>
    <w:rsid w:val="000240A4"/>
    <w:rsid w:val="00024AA9"/>
    <w:rsid w:val="00026F78"/>
    <w:rsid w:val="000272C2"/>
    <w:rsid w:val="0003064A"/>
    <w:rsid w:val="00032B63"/>
    <w:rsid w:val="0003431A"/>
    <w:rsid w:val="000351CB"/>
    <w:rsid w:val="00036C3C"/>
    <w:rsid w:val="000374A5"/>
    <w:rsid w:val="00044570"/>
    <w:rsid w:val="00045885"/>
    <w:rsid w:val="00056348"/>
    <w:rsid w:val="000571F6"/>
    <w:rsid w:val="00057C09"/>
    <w:rsid w:val="00062301"/>
    <w:rsid w:val="00062FF8"/>
    <w:rsid w:val="00063277"/>
    <w:rsid w:val="00063FA7"/>
    <w:rsid w:val="0006490F"/>
    <w:rsid w:val="00065A01"/>
    <w:rsid w:val="00066A17"/>
    <w:rsid w:val="00066D5B"/>
    <w:rsid w:val="000678A2"/>
    <w:rsid w:val="00067EB5"/>
    <w:rsid w:val="000701EB"/>
    <w:rsid w:val="000719AA"/>
    <w:rsid w:val="000736D9"/>
    <w:rsid w:val="000749EA"/>
    <w:rsid w:val="0007589E"/>
    <w:rsid w:val="00077161"/>
    <w:rsid w:val="00081258"/>
    <w:rsid w:val="000814B9"/>
    <w:rsid w:val="000842B9"/>
    <w:rsid w:val="00085DF5"/>
    <w:rsid w:val="00086594"/>
    <w:rsid w:val="00087378"/>
    <w:rsid w:val="00087EA9"/>
    <w:rsid w:val="00095610"/>
    <w:rsid w:val="00095CCD"/>
    <w:rsid w:val="000966CC"/>
    <w:rsid w:val="000A17BE"/>
    <w:rsid w:val="000A2ABA"/>
    <w:rsid w:val="000A2FB3"/>
    <w:rsid w:val="000A48F2"/>
    <w:rsid w:val="000B0B1E"/>
    <w:rsid w:val="000B274A"/>
    <w:rsid w:val="000C0B06"/>
    <w:rsid w:val="000C0FD3"/>
    <w:rsid w:val="000C1370"/>
    <w:rsid w:val="000C5B2D"/>
    <w:rsid w:val="000C668B"/>
    <w:rsid w:val="000C6D7B"/>
    <w:rsid w:val="000D17B9"/>
    <w:rsid w:val="000D5F58"/>
    <w:rsid w:val="000E0273"/>
    <w:rsid w:val="000E0B1C"/>
    <w:rsid w:val="000E132D"/>
    <w:rsid w:val="000E22C9"/>
    <w:rsid w:val="000E31B5"/>
    <w:rsid w:val="000F0069"/>
    <w:rsid w:val="000F11DD"/>
    <w:rsid w:val="000F19DD"/>
    <w:rsid w:val="000F2F01"/>
    <w:rsid w:val="0010478A"/>
    <w:rsid w:val="00112126"/>
    <w:rsid w:val="00113464"/>
    <w:rsid w:val="00115EB1"/>
    <w:rsid w:val="001178BE"/>
    <w:rsid w:val="0012176A"/>
    <w:rsid w:val="00121A22"/>
    <w:rsid w:val="001221C0"/>
    <w:rsid w:val="001248A3"/>
    <w:rsid w:val="00124F32"/>
    <w:rsid w:val="00126483"/>
    <w:rsid w:val="00126A4E"/>
    <w:rsid w:val="00127CC8"/>
    <w:rsid w:val="0013046A"/>
    <w:rsid w:val="0013080C"/>
    <w:rsid w:val="0013087E"/>
    <w:rsid w:val="00132892"/>
    <w:rsid w:val="00133198"/>
    <w:rsid w:val="00133C60"/>
    <w:rsid w:val="001344C7"/>
    <w:rsid w:val="00136A07"/>
    <w:rsid w:val="00136D56"/>
    <w:rsid w:val="00142609"/>
    <w:rsid w:val="00144977"/>
    <w:rsid w:val="00146434"/>
    <w:rsid w:val="001465B1"/>
    <w:rsid w:val="00150EC7"/>
    <w:rsid w:val="00155EF5"/>
    <w:rsid w:val="001571BD"/>
    <w:rsid w:val="001657A9"/>
    <w:rsid w:val="00167F2B"/>
    <w:rsid w:val="00170D0E"/>
    <w:rsid w:val="0017179F"/>
    <w:rsid w:val="00171E14"/>
    <w:rsid w:val="00172149"/>
    <w:rsid w:val="00172D7D"/>
    <w:rsid w:val="00175673"/>
    <w:rsid w:val="00176431"/>
    <w:rsid w:val="00176649"/>
    <w:rsid w:val="00183C8E"/>
    <w:rsid w:val="00192A7D"/>
    <w:rsid w:val="00192B77"/>
    <w:rsid w:val="001946B1"/>
    <w:rsid w:val="00194E14"/>
    <w:rsid w:val="001965AF"/>
    <w:rsid w:val="00196820"/>
    <w:rsid w:val="00196D7C"/>
    <w:rsid w:val="00197A23"/>
    <w:rsid w:val="001A3026"/>
    <w:rsid w:val="001A4516"/>
    <w:rsid w:val="001A4590"/>
    <w:rsid w:val="001A4B76"/>
    <w:rsid w:val="001A550C"/>
    <w:rsid w:val="001A573F"/>
    <w:rsid w:val="001A64C6"/>
    <w:rsid w:val="001A7081"/>
    <w:rsid w:val="001A70AD"/>
    <w:rsid w:val="001A73E3"/>
    <w:rsid w:val="001B238D"/>
    <w:rsid w:val="001B242B"/>
    <w:rsid w:val="001B484F"/>
    <w:rsid w:val="001B4ACB"/>
    <w:rsid w:val="001B5111"/>
    <w:rsid w:val="001B5E15"/>
    <w:rsid w:val="001B5F73"/>
    <w:rsid w:val="001B75E6"/>
    <w:rsid w:val="001B7645"/>
    <w:rsid w:val="001B792D"/>
    <w:rsid w:val="001C0CB0"/>
    <w:rsid w:val="001C2942"/>
    <w:rsid w:val="001D10D0"/>
    <w:rsid w:val="001D11CE"/>
    <w:rsid w:val="001D16C2"/>
    <w:rsid w:val="001D3F48"/>
    <w:rsid w:val="001D483C"/>
    <w:rsid w:val="001E025A"/>
    <w:rsid w:val="001E06F1"/>
    <w:rsid w:val="001E4C31"/>
    <w:rsid w:val="001E7CA0"/>
    <w:rsid w:val="001F4083"/>
    <w:rsid w:val="001F60D5"/>
    <w:rsid w:val="001F627F"/>
    <w:rsid w:val="001F7023"/>
    <w:rsid w:val="001F7C55"/>
    <w:rsid w:val="00200174"/>
    <w:rsid w:val="00211BAC"/>
    <w:rsid w:val="002154B2"/>
    <w:rsid w:val="002170D6"/>
    <w:rsid w:val="002203EA"/>
    <w:rsid w:val="0022055B"/>
    <w:rsid w:val="0022067C"/>
    <w:rsid w:val="002207C3"/>
    <w:rsid w:val="00222FC1"/>
    <w:rsid w:val="0022428B"/>
    <w:rsid w:val="002257FA"/>
    <w:rsid w:val="00235694"/>
    <w:rsid w:val="00236FF5"/>
    <w:rsid w:val="0024233E"/>
    <w:rsid w:val="00243BAC"/>
    <w:rsid w:val="00244BD6"/>
    <w:rsid w:val="00245A56"/>
    <w:rsid w:val="00245EB5"/>
    <w:rsid w:val="002466F4"/>
    <w:rsid w:val="00251E83"/>
    <w:rsid w:val="00252352"/>
    <w:rsid w:val="00253985"/>
    <w:rsid w:val="00255067"/>
    <w:rsid w:val="0025738E"/>
    <w:rsid w:val="00257989"/>
    <w:rsid w:val="00260A6C"/>
    <w:rsid w:val="00261FC7"/>
    <w:rsid w:val="002628B9"/>
    <w:rsid w:val="00263D2B"/>
    <w:rsid w:val="00264B03"/>
    <w:rsid w:val="0027474D"/>
    <w:rsid w:val="00274A7E"/>
    <w:rsid w:val="00276918"/>
    <w:rsid w:val="00276ED1"/>
    <w:rsid w:val="002775AB"/>
    <w:rsid w:val="0027792C"/>
    <w:rsid w:val="0028314C"/>
    <w:rsid w:val="00283CA0"/>
    <w:rsid w:val="00285AF5"/>
    <w:rsid w:val="0028709C"/>
    <w:rsid w:val="00291D75"/>
    <w:rsid w:val="00292713"/>
    <w:rsid w:val="00295B67"/>
    <w:rsid w:val="00296940"/>
    <w:rsid w:val="002A2C2E"/>
    <w:rsid w:val="002A4B6C"/>
    <w:rsid w:val="002A6150"/>
    <w:rsid w:val="002A669E"/>
    <w:rsid w:val="002B0ECF"/>
    <w:rsid w:val="002B1763"/>
    <w:rsid w:val="002B4FEF"/>
    <w:rsid w:val="002C12FA"/>
    <w:rsid w:val="002C209B"/>
    <w:rsid w:val="002C21F9"/>
    <w:rsid w:val="002C26EB"/>
    <w:rsid w:val="002C321E"/>
    <w:rsid w:val="002C341E"/>
    <w:rsid w:val="002C42E0"/>
    <w:rsid w:val="002C4F1C"/>
    <w:rsid w:val="002C518C"/>
    <w:rsid w:val="002C7B46"/>
    <w:rsid w:val="002D0F51"/>
    <w:rsid w:val="002D1DDC"/>
    <w:rsid w:val="002D27DC"/>
    <w:rsid w:val="002D4621"/>
    <w:rsid w:val="002E0043"/>
    <w:rsid w:val="002E2367"/>
    <w:rsid w:val="002E37E7"/>
    <w:rsid w:val="002E40A2"/>
    <w:rsid w:val="002E47B4"/>
    <w:rsid w:val="002E4B46"/>
    <w:rsid w:val="002E5671"/>
    <w:rsid w:val="002E6162"/>
    <w:rsid w:val="002F105C"/>
    <w:rsid w:val="002F2D19"/>
    <w:rsid w:val="002F3610"/>
    <w:rsid w:val="002F3FE5"/>
    <w:rsid w:val="002F4E8C"/>
    <w:rsid w:val="002F6F78"/>
    <w:rsid w:val="0030080B"/>
    <w:rsid w:val="0030114D"/>
    <w:rsid w:val="00302240"/>
    <w:rsid w:val="00302B41"/>
    <w:rsid w:val="00302B74"/>
    <w:rsid w:val="003032B7"/>
    <w:rsid w:val="0030550A"/>
    <w:rsid w:val="00305A1C"/>
    <w:rsid w:val="0030603C"/>
    <w:rsid w:val="003129E8"/>
    <w:rsid w:val="00315AB7"/>
    <w:rsid w:val="00320A4B"/>
    <w:rsid w:val="00323833"/>
    <w:rsid w:val="00324660"/>
    <w:rsid w:val="00324AFE"/>
    <w:rsid w:val="00324D0F"/>
    <w:rsid w:val="0032592B"/>
    <w:rsid w:val="003259CD"/>
    <w:rsid w:val="0032657A"/>
    <w:rsid w:val="00333E01"/>
    <w:rsid w:val="00335017"/>
    <w:rsid w:val="00340760"/>
    <w:rsid w:val="003408A4"/>
    <w:rsid w:val="00340DAD"/>
    <w:rsid w:val="00343D84"/>
    <w:rsid w:val="00345059"/>
    <w:rsid w:val="00345971"/>
    <w:rsid w:val="00345DE6"/>
    <w:rsid w:val="0034647B"/>
    <w:rsid w:val="003469C3"/>
    <w:rsid w:val="00346EEC"/>
    <w:rsid w:val="00350382"/>
    <w:rsid w:val="00353DC2"/>
    <w:rsid w:val="003541A6"/>
    <w:rsid w:val="00354F16"/>
    <w:rsid w:val="00362067"/>
    <w:rsid w:val="003636EF"/>
    <w:rsid w:val="00370237"/>
    <w:rsid w:val="00374640"/>
    <w:rsid w:val="00377407"/>
    <w:rsid w:val="003803F8"/>
    <w:rsid w:val="003812B9"/>
    <w:rsid w:val="00381425"/>
    <w:rsid w:val="0038391A"/>
    <w:rsid w:val="00392B5E"/>
    <w:rsid w:val="00392C05"/>
    <w:rsid w:val="00393618"/>
    <w:rsid w:val="00393D41"/>
    <w:rsid w:val="00395845"/>
    <w:rsid w:val="0039600E"/>
    <w:rsid w:val="003A1B51"/>
    <w:rsid w:val="003A2337"/>
    <w:rsid w:val="003A346D"/>
    <w:rsid w:val="003A648E"/>
    <w:rsid w:val="003A66D0"/>
    <w:rsid w:val="003A7230"/>
    <w:rsid w:val="003B338B"/>
    <w:rsid w:val="003B384E"/>
    <w:rsid w:val="003B51DE"/>
    <w:rsid w:val="003B55BB"/>
    <w:rsid w:val="003B6B5B"/>
    <w:rsid w:val="003C27C4"/>
    <w:rsid w:val="003C2CEC"/>
    <w:rsid w:val="003C3A3C"/>
    <w:rsid w:val="003C3B75"/>
    <w:rsid w:val="003C48C5"/>
    <w:rsid w:val="003C5980"/>
    <w:rsid w:val="003C6DFA"/>
    <w:rsid w:val="003C7AA0"/>
    <w:rsid w:val="003D04BC"/>
    <w:rsid w:val="003D0F5B"/>
    <w:rsid w:val="003D298F"/>
    <w:rsid w:val="003D36AD"/>
    <w:rsid w:val="003D3F36"/>
    <w:rsid w:val="003D5191"/>
    <w:rsid w:val="003D60B8"/>
    <w:rsid w:val="003E15A5"/>
    <w:rsid w:val="003E24CE"/>
    <w:rsid w:val="003E320D"/>
    <w:rsid w:val="003E3441"/>
    <w:rsid w:val="003E3941"/>
    <w:rsid w:val="003E540D"/>
    <w:rsid w:val="003E7422"/>
    <w:rsid w:val="003E7CF9"/>
    <w:rsid w:val="003E7D3D"/>
    <w:rsid w:val="003E7E0A"/>
    <w:rsid w:val="003F0CBE"/>
    <w:rsid w:val="003F3179"/>
    <w:rsid w:val="003F34E8"/>
    <w:rsid w:val="003F3DED"/>
    <w:rsid w:val="003F57BD"/>
    <w:rsid w:val="003F5B70"/>
    <w:rsid w:val="00400906"/>
    <w:rsid w:val="0040101A"/>
    <w:rsid w:val="004018B3"/>
    <w:rsid w:val="0040323C"/>
    <w:rsid w:val="00403FBE"/>
    <w:rsid w:val="00404BAF"/>
    <w:rsid w:val="00406EDD"/>
    <w:rsid w:val="004078BB"/>
    <w:rsid w:val="0041339D"/>
    <w:rsid w:val="0041365D"/>
    <w:rsid w:val="00415754"/>
    <w:rsid w:val="004162E3"/>
    <w:rsid w:val="00421ED8"/>
    <w:rsid w:val="004220F6"/>
    <w:rsid w:val="0042297B"/>
    <w:rsid w:val="00422F19"/>
    <w:rsid w:val="00423B48"/>
    <w:rsid w:val="00423D53"/>
    <w:rsid w:val="00424AC6"/>
    <w:rsid w:val="00425FE9"/>
    <w:rsid w:val="00427131"/>
    <w:rsid w:val="00430775"/>
    <w:rsid w:val="004323E9"/>
    <w:rsid w:val="00432C65"/>
    <w:rsid w:val="004339ED"/>
    <w:rsid w:val="00433B89"/>
    <w:rsid w:val="00434063"/>
    <w:rsid w:val="00436F7E"/>
    <w:rsid w:val="00437947"/>
    <w:rsid w:val="00437BE1"/>
    <w:rsid w:val="0044128D"/>
    <w:rsid w:val="004419D3"/>
    <w:rsid w:val="0044337C"/>
    <w:rsid w:val="00445790"/>
    <w:rsid w:val="00446C68"/>
    <w:rsid w:val="00450273"/>
    <w:rsid w:val="004509A5"/>
    <w:rsid w:val="00453CE7"/>
    <w:rsid w:val="00455128"/>
    <w:rsid w:val="004551F3"/>
    <w:rsid w:val="00455856"/>
    <w:rsid w:val="004563F1"/>
    <w:rsid w:val="004602EC"/>
    <w:rsid w:val="004617A6"/>
    <w:rsid w:val="00462EF3"/>
    <w:rsid w:val="004634DD"/>
    <w:rsid w:val="00463BDC"/>
    <w:rsid w:val="00464024"/>
    <w:rsid w:val="00465175"/>
    <w:rsid w:val="00467FE9"/>
    <w:rsid w:val="00472694"/>
    <w:rsid w:val="00473282"/>
    <w:rsid w:val="00474025"/>
    <w:rsid w:val="004742EA"/>
    <w:rsid w:val="0048008C"/>
    <w:rsid w:val="004809C9"/>
    <w:rsid w:val="00480BAD"/>
    <w:rsid w:val="00480C7E"/>
    <w:rsid w:val="00481EE4"/>
    <w:rsid w:val="00481F63"/>
    <w:rsid w:val="00486CF9"/>
    <w:rsid w:val="00487A47"/>
    <w:rsid w:val="00487D95"/>
    <w:rsid w:val="00492048"/>
    <w:rsid w:val="004959B4"/>
    <w:rsid w:val="00496685"/>
    <w:rsid w:val="004967A2"/>
    <w:rsid w:val="00497CD3"/>
    <w:rsid w:val="004A2D46"/>
    <w:rsid w:val="004A3A35"/>
    <w:rsid w:val="004A4DCB"/>
    <w:rsid w:val="004A6FCA"/>
    <w:rsid w:val="004B0F48"/>
    <w:rsid w:val="004B2CFB"/>
    <w:rsid w:val="004B4489"/>
    <w:rsid w:val="004C4E2A"/>
    <w:rsid w:val="004C56D1"/>
    <w:rsid w:val="004D0D4F"/>
    <w:rsid w:val="004D2C76"/>
    <w:rsid w:val="004D2E75"/>
    <w:rsid w:val="004D3CF0"/>
    <w:rsid w:val="004D58D5"/>
    <w:rsid w:val="004D71AF"/>
    <w:rsid w:val="004D7301"/>
    <w:rsid w:val="004E2777"/>
    <w:rsid w:val="004E4778"/>
    <w:rsid w:val="004F1DB8"/>
    <w:rsid w:val="004F21BC"/>
    <w:rsid w:val="004F33CF"/>
    <w:rsid w:val="004F3EDB"/>
    <w:rsid w:val="004F53A7"/>
    <w:rsid w:val="004F55EC"/>
    <w:rsid w:val="004F61DD"/>
    <w:rsid w:val="004F6E65"/>
    <w:rsid w:val="00502569"/>
    <w:rsid w:val="005043E3"/>
    <w:rsid w:val="00506204"/>
    <w:rsid w:val="00511171"/>
    <w:rsid w:val="005112C1"/>
    <w:rsid w:val="005123E9"/>
    <w:rsid w:val="00512D82"/>
    <w:rsid w:val="0051328A"/>
    <w:rsid w:val="005136CC"/>
    <w:rsid w:val="00513858"/>
    <w:rsid w:val="00514B37"/>
    <w:rsid w:val="00514EEC"/>
    <w:rsid w:val="00521874"/>
    <w:rsid w:val="00521920"/>
    <w:rsid w:val="005246B1"/>
    <w:rsid w:val="00530B04"/>
    <w:rsid w:val="00531EC2"/>
    <w:rsid w:val="00534386"/>
    <w:rsid w:val="005349FA"/>
    <w:rsid w:val="0053683E"/>
    <w:rsid w:val="005376FD"/>
    <w:rsid w:val="00537B0D"/>
    <w:rsid w:val="005403E8"/>
    <w:rsid w:val="00542990"/>
    <w:rsid w:val="00542A98"/>
    <w:rsid w:val="00544873"/>
    <w:rsid w:val="005453C5"/>
    <w:rsid w:val="0054599C"/>
    <w:rsid w:val="00545A84"/>
    <w:rsid w:val="00551EF3"/>
    <w:rsid w:val="00552F15"/>
    <w:rsid w:val="00553C60"/>
    <w:rsid w:val="00554084"/>
    <w:rsid w:val="00557E24"/>
    <w:rsid w:val="00560593"/>
    <w:rsid w:val="0056163A"/>
    <w:rsid w:val="00562217"/>
    <w:rsid w:val="00563BE5"/>
    <w:rsid w:val="00567397"/>
    <w:rsid w:val="0057072D"/>
    <w:rsid w:val="005734D8"/>
    <w:rsid w:val="00574FBD"/>
    <w:rsid w:val="00576E4B"/>
    <w:rsid w:val="005773BB"/>
    <w:rsid w:val="00581433"/>
    <w:rsid w:val="00581E4A"/>
    <w:rsid w:val="00585C83"/>
    <w:rsid w:val="00586604"/>
    <w:rsid w:val="00586FA4"/>
    <w:rsid w:val="00587DDD"/>
    <w:rsid w:val="00591FDD"/>
    <w:rsid w:val="0059536C"/>
    <w:rsid w:val="0059720C"/>
    <w:rsid w:val="005977B3"/>
    <w:rsid w:val="005A1B82"/>
    <w:rsid w:val="005A1F9D"/>
    <w:rsid w:val="005A3798"/>
    <w:rsid w:val="005A67E5"/>
    <w:rsid w:val="005A7302"/>
    <w:rsid w:val="005A7776"/>
    <w:rsid w:val="005B00A6"/>
    <w:rsid w:val="005B0DD4"/>
    <w:rsid w:val="005B6107"/>
    <w:rsid w:val="005C2844"/>
    <w:rsid w:val="005C37CB"/>
    <w:rsid w:val="005C7F3F"/>
    <w:rsid w:val="005D6266"/>
    <w:rsid w:val="005E0B53"/>
    <w:rsid w:val="005E2187"/>
    <w:rsid w:val="005E4FE9"/>
    <w:rsid w:val="005F031F"/>
    <w:rsid w:val="005F19E0"/>
    <w:rsid w:val="005F2E66"/>
    <w:rsid w:val="005F3E96"/>
    <w:rsid w:val="005F57B5"/>
    <w:rsid w:val="005F7AA1"/>
    <w:rsid w:val="00604FAE"/>
    <w:rsid w:val="00607605"/>
    <w:rsid w:val="0061001E"/>
    <w:rsid w:val="00610B3C"/>
    <w:rsid w:val="00610FC6"/>
    <w:rsid w:val="006148C6"/>
    <w:rsid w:val="00615572"/>
    <w:rsid w:val="00622319"/>
    <w:rsid w:val="0062335D"/>
    <w:rsid w:val="00623394"/>
    <w:rsid w:val="00623BA1"/>
    <w:rsid w:val="0062416A"/>
    <w:rsid w:val="00625977"/>
    <w:rsid w:val="00625FB3"/>
    <w:rsid w:val="00626129"/>
    <w:rsid w:val="00632A52"/>
    <w:rsid w:val="00633A9C"/>
    <w:rsid w:val="00634414"/>
    <w:rsid w:val="00635B9F"/>
    <w:rsid w:val="00636012"/>
    <w:rsid w:val="00636987"/>
    <w:rsid w:val="00640BB6"/>
    <w:rsid w:val="006415E1"/>
    <w:rsid w:val="00642249"/>
    <w:rsid w:val="00642FCD"/>
    <w:rsid w:val="006433B2"/>
    <w:rsid w:val="00644D17"/>
    <w:rsid w:val="00644DB4"/>
    <w:rsid w:val="00645027"/>
    <w:rsid w:val="0064609B"/>
    <w:rsid w:val="00652DD9"/>
    <w:rsid w:val="00652F28"/>
    <w:rsid w:val="006559C8"/>
    <w:rsid w:val="006560E4"/>
    <w:rsid w:val="00657405"/>
    <w:rsid w:val="006605C2"/>
    <w:rsid w:val="00661864"/>
    <w:rsid w:val="00663A00"/>
    <w:rsid w:val="00664FA6"/>
    <w:rsid w:val="0066632E"/>
    <w:rsid w:val="00667EB6"/>
    <w:rsid w:val="00671943"/>
    <w:rsid w:val="00673682"/>
    <w:rsid w:val="00676955"/>
    <w:rsid w:val="006832A4"/>
    <w:rsid w:val="006846E9"/>
    <w:rsid w:val="00685A73"/>
    <w:rsid w:val="006872DB"/>
    <w:rsid w:val="00691DC1"/>
    <w:rsid w:val="006937F0"/>
    <w:rsid w:val="00695ED2"/>
    <w:rsid w:val="006A1022"/>
    <w:rsid w:val="006A1117"/>
    <w:rsid w:val="006A1A83"/>
    <w:rsid w:val="006A2C4B"/>
    <w:rsid w:val="006A541C"/>
    <w:rsid w:val="006A55D2"/>
    <w:rsid w:val="006A7F76"/>
    <w:rsid w:val="006B42B8"/>
    <w:rsid w:val="006B4563"/>
    <w:rsid w:val="006B5F65"/>
    <w:rsid w:val="006B6104"/>
    <w:rsid w:val="006B763D"/>
    <w:rsid w:val="006B7EDD"/>
    <w:rsid w:val="006C03F8"/>
    <w:rsid w:val="006C44B4"/>
    <w:rsid w:val="006C5568"/>
    <w:rsid w:val="006C5825"/>
    <w:rsid w:val="006D0365"/>
    <w:rsid w:val="006D2068"/>
    <w:rsid w:val="006D3725"/>
    <w:rsid w:val="006D4AE1"/>
    <w:rsid w:val="006D52D8"/>
    <w:rsid w:val="006D5AAB"/>
    <w:rsid w:val="006E0111"/>
    <w:rsid w:val="006E3C13"/>
    <w:rsid w:val="006E5CB6"/>
    <w:rsid w:val="006F0139"/>
    <w:rsid w:val="006F214B"/>
    <w:rsid w:val="006F28C7"/>
    <w:rsid w:val="006F35A2"/>
    <w:rsid w:val="007001DD"/>
    <w:rsid w:val="007015E4"/>
    <w:rsid w:val="007019E8"/>
    <w:rsid w:val="0070443C"/>
    <w:rsid w:val="00705FF6"/>
    <w:rsid w:val="00705FFF"/>
    <w:rsid w:val="00706029"/>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5582"/>
    <w:rsid w:val="007458B2"/>
    <w:rsid w:val="0074677C"/>
    <w:rsid w:val="00746826"/>
    <w:rsid w:val="0074683B"/>
    <w:rsid w:val="00746DDC"/>
    <w:rsid w:val="007475AA"/>
    <w:rsid w:val="0075061C"/>
    <w:rsid w:val="00750D83"/>
    <w:rsid w:val="00751D0D"/>
    <w:rsid w:val="00753278"/>
    <w:rsid w:val="00754D25"/>
    <w:rsid w:val="00755961"/>
    <w:rsid w:val="00756A18"/>
    <w:rsid w:val="00757590"/>
    <w:rsid w:val="00762F0E"/>
    <w:rsid w:val="007652CE"/>
    <w:rsid w:val="00765936"/>
    <w:rsid w:val="007674A3"/>
    <w:rsid w:val="0077100D"/>
    <w:rsid w:val="0077416A"/>
    <w:rsid w:val="0077706D"/>
    <w:rsid w:val="00781316"/>
    <w:rsid w:val="007821CF"/>
    <w:rsid w:val="007834E8"/>
    <w:rsid w:val="00783DAC"/>
    <w:rsid w:val="00784500"/>
    <w:rsid w:val="00785112"/>
    <w:rsid w:val="00786700"/>
    <w:rsid w:val="007878B9"/>
    <w:rsid w:val="00790C15"/>
    <w:rsid w:val="007931BC"/>
    <w:rsid w:val="00793646"/>
    <w:rsid w:val="0079521E"/>
    <w:rsid w:val="00796071"/>
    <w:rsid w:val="007A0C2E"/>
    <w:rsid w:val="007A1510"/>
    <w:rsid w:val="007A4D97"/>
    <w:rsid w:val="007A5FEB"/>
    <w:rsid w:val="007A7175"/>
    <w:rsid w:val="007A768C"/>
    <w:rsid w:val="007B2CAC"/>
    <w:rsid w:val="007B2E26"/>
    <w:rsid w:val="007B44FB"/>
    <w:rsid w:val="007C0053"/>
    <w:rsid w:val="007C0E38"/>
    <w:rsid w:val="007C18E3"/>
    <w:rsid w:val="007C4288"/>
    <w:rsid w:val="007C4E08"/>
    <w:rsid w:val="007D0411"/>
    <w:rsid w:val="007D086D"/>
    <w:rsid w:val="007D2F4C"/>
    <w:rsid w:val="007D3D17"/>
    <w:rsid w:val="007D3DFF"/>
    <w:rsid w:val="007D3F38"/>
    <w:rsid w:val="007D4DB8"/>
    <w:rsid w:val="007E2197"/>
    <w:rsid w:val="007E2886"/>
    <w:rsid w:val="007E3304"/>
    <w:rsid w:val="007F1E48"/>
    <w:rsid w:val="007F2147"/>
    <w:rsid w:val="007F36E9"/>
    <w:rsid w:val="007F3F18"/>
    <w:rsid w:val="007F4605"/>
    <w:rsid w:val="007F5FC2"/>
    <w:rsid w:val="007F6C7D"/>
    <w:rsid w:val="008026F6"/>
    <w:rsid w:val="00803C8D"/>
    <w:rsid w:val="00803F84"/>
    <w:rsid w:val="00806070"/>
    <w:rsid w:val="00806AFF"/>
    <w:rsid w:val="00806EE8"/>
    <w:rsid w:val="00811D89"/>
    <w:rsid w:val="00814500"/>
    <w:rsid w:val="00820B72"/>
    <w:rsid w:val="00820C1F"/>
    <w:rsid w:val="00822F77"/>
    <w:rsid w:val="008264BB"/>
    <w:rsid w:val="00833AF7"/>
    <w:rsid w:val="00834023"/>
    <w:rsid w:val="00835579"/>
    <w:rsid w:val="00836F9B"/>
    <w:rsid w:val="00841E86"/>
    <w:rsid w:val="00844106"/>
    <w:rsid w:val="00844B27"/>
    <w:rsid w:val="00844D29"/>
    <w:rsid w:val="00846195"/>
    <w:rsid w:val="00846FA0"/>
    <w:rsid w:val="008479B6"/>
    <w:rsid w:val="00851ABA"/>
    <w:rsid w:val="00853205"/>
    <w:rsid w:val="0086002F"/>
    <w:rsid w:val="0086273A"/>
    <w:rsid w:val="00863F9D"/>
    <w:rsid w:val="008645F9"/>
    <w:rsid w:val="0086628A"/>
    <w:rsid w:val="00871279"/>
    <w:rsid w:val="008722BC"/>
    <w:rsid w:val="00872913"/>
    <w:rsid w:val="00873F82"/>
    <w:rsid w:val="008758AF"/>
    <w:rsid w:val="0087599D"/>
    <w:rsid w:val="00875F05"/>
    <w:rsid w:val="00880CA5"/>
    <w:rsid w:val="008817B1"/>
    <w:rsid w:val="00881E65"/>
    <w:rsid w:val="008834BB"/>
    <w:rsid w:val="008840FA"/>
    <w:rsid w:val="008846D2"/>
    <w:rsid w:val="00884BAD"/>
    <w:rsid w:val="008850B0"/>
    <w:rsid w:val="00890F95"/>
    <w:rsid w:val="0089311A"/>
    <w:rsid w:val="008946C3"/>
    <w:rsid w:val="008948E0"/>
    <w:rsid w:val="0089528C"/>
    <w:rsid w:val="00895469"/>
    <w:rsid w:val="008A1884"/>
    <w:rsid w:val="008A529B"/>
    <w:rsid w:val="008A6467"/>
    <w:rsid w:val="008B034D"/>
    <w:rsid w:val="008B0BBC"/>
    <w:rsid w:val="008B3449"/>
    <w:rsid w:val="008B4153"/>
    <w:rsid w:val="008B5356"/>
    <w:rsid w:val="008B7927"/>
    <w:rsid w:val="008C31ED"/>
    <w:rsid w:val="008C4F89"/>
    <w:rsid w:val="008C5AF3"/>
    <w:rsid w:val="008C6AD1"/>
    <w:rsid w:val="008C71B5"/>
    <w:rsid w:val="008C7D72"/>
    <w:rsid w:val="008E431F"/>
    <w:rsid w:val="008E5E12"/>
    <w:rsid w:val="008F0D2A"/>
    <w:rsid w:val="008F12D4"/>
    <w:rsid w:val="008F17A0"/>
    <w:rsid w:val="008F23EF"/>
    <w:rsid w:val="008F386F"/>
    <w:rsid w:val="008F48E1"/>
    <w:rsid w:val="008F5BD0"/>
    <w:rsid w:val="009003FE"/>
    <w:rsid w:val="00903383"/>
    <w:rsid w:val="00903C95"/>
    <w:rsid w:val="009046D4"/>
    <w:rsid w:val="0091058D"/>
    <w:rsid w:val="00913858"/>
    <w:rsid w:val="00913A0F"/>
    <w:rsid w:val="00914959"/>
    <w:rsid w:val="00915CE6"/>
    <w:rsid w:val="00916468"/>
    <w:rsid w:val="009168A1"/>
    <w:rsid w:val="00924681"/>
    <w:rsid w:val="00924837"/>
    <w:rsid w:val="0092622E"/>
    <w:rsid w:val="0092743E"/>
    <w:rsid w:val="00927C6E"/>
    <w:rsid w:val="00930877"/>
    <w:rsid w:val="00930E73"/>
    <w:rsid w:val="009428A5"/>
    <w:rsid w:val="00943139"/>
    <w:rsid w:val="0094330C"/>
    <w:rsid w:val="00945BF0"/>
    <w:rsid w:val="00945CB0"/>
    <w:rsid w:val="00950076"/>
    <w:rsid w:val="0095055E"/>
    <w:rsid w:val="00951188"/>
    <w:rsid w:val="009519D6"/>
    <w:rsid w:val="00955732"/>
    <w:rsid w:val="00955CBA"/>
    <w:rsid w:val="00960F2F"/>
    <w:rsid w:val="00963010"/>
    <w:rsid w:val="009634F6"/>
    <w:rsid w:val="00963B5E"/>
    <w:rsid w:val="00963FA0"/>
    <w:rsid w:val="0096491F"/>
    <w:rsid w:val="009673F8"/>
    <w:rsid w:val="00970E84"/>
    <w:rsid w:val="0097121B"/>
    <w:rsid w:val="00971442"/>
    <w:rsid w:val="00971F41"/>
    <w:rsid w:val="00974E95"/>
    <w:rsid w:val="00975F2D"/>
    <w:rsid w:val="0097703D"/>
    <w:rsid w:val="00977BF5"/>
    <w:rsid w:val="0098302D"/>
    <w:rsid w:val="009833EF"/>
    <w:rsid w:val="009839EF"/>
    <w:rsid w:val="00987608"/>
    <w:rsid w:val="0099144C"/>
    <w:rsid w:val="009943A0"/>
    <w:rsid w:val="009953BC"/>
    <w:rsid w:val="009963D2"/>
    <w:rsid w:val="009A0568"/>
    <w:rsid w:val="009A0AF9"/>
    <w:rsid w:val="009A16BE"/>
    <w:rsid w:val="009A1917"/>
    <w:rsid w:val="009A2337"/>
    <w:rsid w:val="009A2E00"/>
    <w:rsid w:val="009A355A"/>
    <w:rsid w:val="009A3F92"/>
    <w:rsid w:val="009A5CE8"/>
    <w:rsid w:val="009A7B5A"/>
    <w:rsid w:val="009A7F79"/>
    <w:rsid w:val="009B1863"/>
    <w:rsid w:val="009B2BDC"/>
    <w:rsid w:val="009B5F5D"/>
    <w:rsid w:val="009B6201"/>
    <w:rsid w:val="009B6326"/>
    <w:rsid w:val="009B73BA"/>
    <w:rsid w:val="009C10D9"/>
    <w:rsid w:val="009C1F64"/>
    <w:rsid w:val="009C425A"/>
    <w:rsid w:val="009C5CA7"/>
    <w:rsid w:val="009D03F8"/>
    <w:rsid w:val="009D1DF4"/>
    <w:rsid w:val="009D2D38"/>
    <w:rsid w:val="009D7A24"/>
    <w:rsid w:val="009E00E4"/>
    <w:rsid w:val="009E0D20"/>
    <w:rsid w:val="009E0F6B"/>
    <w:rsid w:val="009E134B"/>
    <w:rsid w:val="009E23B7"/>
    <w:rsid w:val="009E27D7"/>
    <w:rsid w:val="009E2964"/>
    <w:rsid w:val="009E5D18"/>
    <w:rsid w:val="009E7DCD"/>
    <w:rsid w:val="009F07F6"/>
    <w:rsid w:val="009F382A"/>
    <w:rsid w:val="009F55F9"/>
    <w:rsid w:val="009F5CC0"/>
    <w:rsid w:val="009F6F8B"/>
    <w:rsid w:val="009F7164"/>
    <w:rsid w:val="00A00D24"/>
    <w:rsid w:val="00A01631"/>
    <w:rsid w:val="00A02F0A"/>
    <w:rsid w:val="00A03CB8"/>
    <w:rsid w:val="00A1074D"/>
    <w:rsid w:val="00A114C0"/>
    <w:rsid w:val="00A127DD"/>
    <w:rsid w:val="00A14E6C"/>
    <w:rsid w:val="00A167EC"/>
    <w:rsid w:val="00A172E6"/>
    <w:rsid w:val="00A24434"/>
    <w:rsid w:val="00A24C8D"/>
    <w:rsid w:val="00A26F15"/>
    <w:rsid w:val="00A30E37"/>
    <w:rsid w:val="00A34D30"/>
    <w:rsid w:val="00A35CF8"/>
    <w:rsid w:val="00A360E7"/>
    <w:rsid w:val="00A400DC"/>
    <w:rsid w:val="00A400FB"/>
    <w:rsid w:val="00A4391E"/>
    <w:rsid w:val="00A443D1"/>
    <w:rsid w:val="00A456B3"/>
    <w:rsid w:val="00A47BFE"/>
    <w:rsid w:val="00A5087E"/>
    <w:rsid w:val="00A51163"/>
    <w:rsid w:val="00A51808"/>
    <w:rsid w:val="00A51825"/>
    <w:rsid w:val="00A51D78"/>
    <w:rsid w:val="00A51EA8"/>
    <w:rsid w:val="00A549C3"/>
    <w:rsid w:val="00A5517C"/>
    <w:rsid w:val="00A55DD1"/>
    <w:rsid w:val="00A561A8"/>
    <w:rsid w:val="00A562A6"/>
    <w:rsid w:val="00A614C3"/>
    <w:rsid w:val="00A62582"/>
    <w:rsid w:val="00A62CDE"/>
    <w:rsid w:val="00A63658"/>
    <w:rsid w:val="00A646B3"/>
    <w:rsid w:val="00A7007B"/>
    <w:rsid w:val="00A71623"/>
    <w:rsid w:val="00A71F50"/>
    <w:rsid w:val="00A74793"/>
    <w:rsid w:val="00A81CF8"/>
    <w:rsid w:val="00A84B87"/>
    <w:rsid w:val="00A84D4B"/>
    <w:rsid w:val="00A8592D"/>
    <w:rsid w:val="00A90D08"/>
    <w:rsid w:val="00A93FFF"/>
    <w:rsid w:val="00A95746"/>
    <w:rsid w:val="00A95AB5"/>
    <w:rsid w:val="00A96D45"/>
    <w:rsid w:val="00A973EE"/>
    <w:rsid w:val="00AA18DD"/>
    <w:rsid w:val="00AA1F91"/>
    <w:rsid w:val="00AA2158"/>
    <w:rsid w:val="00AA32E9"/>
    <w:rsid w:val="00AA5437"/>
    <w:rsid w:val="00AA5CE1"/>
    <w:rsid w:val="00AA6879"/>
    <w:rsid w:val="00AB2137"/>
    <w:rsid w:val="00AB2D9E"/>
    <w:rsid w:val="00AB4404"/>
    <w:rsid w:val="00AB68E3"/>
    <w:rsid w:val="00AC119C"/>
    <w:rsid w:val="00AC125B"/>
    <w:rsid w:val="00AC21EE"/>
    <w:rsid w:val="00AC3B22"/>
    <w:rsid w:val="00AC4101"/>
    <w:rsid w:val="00AC5597"/>
    <w:rsid w:val="00AC6C3F"/>
    <w:rsid w:val="00AC6F35"/>
    <w:rsid w:val="00AD0116"/>
    <w:rsid w:val="00AD1B42"/>
    <w:rsid w:val="00AD21BC"/>
    <w:rsid w:val="00AD4177"/>
    <w:rsid w:val="00AD4B84"/>
    <w:rsid w:val="00AD4D3A"/>
    <w:rsid w:val="00AD5CC7"/>
    <w:rsid w:val="00AE23BE"/>
    <w:rsid w:val="00AE5772"/>
    <w:rsid w:val="00AF0AC0"/>
    <w:rsid w:val="00AF1807"/>
    <w:rsid w:val="00AF2DEA"/>
    <w:rsid w:val="00AF4CA9"/>
    <w:rsid w:val="00AF5B52"/>
    <w:rsid w:val="00B008BF"/>
    <w:rsid w:val="00B01748"/>
    <w:rsid w:val="00B04959"/>
    <w:rsid w:val="00B05827"/>
    <w:rsid w:val="00B05ABA"/>
    <w:rsid w:val="00B07460"/>
    <w:rsid w:val="00B16978"/>
    <w:rsid w:val="00B16BE4"/>
    <w:rsid w:val="00B17EBB"/>
    <w:rsid w:val="00B200B4"/>
    <w:rsid w:val="00B203D9"/>
    <w:rsid w:val="00B20F82"/>
    <w:rsid w:val="00B24A6F"/>
    <w:rsid w:val="00B278DB"/>
    <w:rsid w:val="00B302A9"/>
    <w:rsid w:val="00B30D4F"/>
    <w:rsid w:val="00B3434E"/>
    <w:rsid w:val="00B34414"/>
    <w:rsid w:val="00B351FD"/>
    <w:rsid w:val="00B35BFD"/>
    <w:rsid w:val="00B421F2"/>
    <w:rsid w:val="00B42822"/>
    <w:rsid w:val="00B42C54"/>
    <w:rsid w:val="00B4395A"/>
    <w:rsid w:val="00B44D59"/>
    <w:rsid w:val="00B4553E"/>
    <w:rsid w:val="00B46773"/>
    <w:rsid w:val="00B47091"/>
    <w:rsid w:val="00B4731E"/>
    <w:rsid w:val="00B47E14"/>
    <w:rsid w:val="00B51924"/>
    <w:rsid w:val="00B53B7A"/>
    <w:rsid w:val="00B54256"/>
    <w:rsid w:val="00B545F4"/>
    <w:rsid w:val="00B56303"/>
    <w:rsid w:val="00B57277"/>
    <w:rsid w:val="00B57662"/>
    <w:rsid w:val="00B60A06"/>
    <w:rsid w:val="00B60FD9"/>
    <w:rsid w:val="00B64C73"/>
    <w:rsid w:val="00B64F62"/>
    <w:rsid w:val="00B66898"/>
    <w:rsid w:val="00B70DFC"/>
    <w:rsid w:val="00B7164C"/>
    <w:rsid w:val="00B7349A"/>
    <w:rsid w:val="00B74832"/>
    <w:rsid w:val="00B74917"/>
    <w:rsid w:val="00B807AB"/>
    <w:rsid w:val="00B80F53"/>
    <w:rsid w:val="00B81447"/>
    <w:rsid w:val="00B8146C"/>
    <w:rsid w:val="00B82E26"/>
    <w:rsid w:val="00B85128"/>
    <w:rsid w:val="00B94D78"/>
    <w:rsid w:val="00B95FBC"/>
    <w:rsid w:val="00B97C44"/>
    <w:rsid w:val="00BA05AE"/>
    <w:rsid w:val="00BA2008"/>
    <w:rsid w:val="00BA2FA3"/>
    <w:rsid w:val="00BA6418"/>
    <w:rsid w:val="00BA7D18"/>
    <w:rsid w:val="00BB3A8F"/>
    <w:rsid w:val="00BB4C31"/>
    <w:rsid w:val="00BB72C5"/>
    <w:rsid w:val="00BC189B"/>
    <w:rsid w:val="00BC19F6"/>
    <w:rsid w:val="00BC2A83"/>
    <w:rsid w:val="00BC3128"/>
    <w:rsid w:val="00BC6088"/>
    <w:rsid w:val="00BD02D0"/>
    <w:rsid w:val="00BD0D15"/>
    <w:rsid w:val="00BD5425"/>
    <w:rsid w:val="00BF0332"/>
    <w:rsid w:val="00BF0AF4"/>
    <w:rsid w:val="00BF394E"/>
    <w:rsid w:val="00BF5625"/>
    <w:rsid w:val="00BF5FCC"/>
    <w:rsid w:val="00C00FA2"/>
    <w:rsid w:val="00C03DE9"/>
    <w:rsid w:val="00C069A2"/>
    <w:rsid w:val="00C069EC"/>
    <w:rsid w:val="00C127AE"/>
    <w:rsid w:val="00C1411D"/>
    <w:rsid w:val="00C16641"/>
    <w:rsid w:val="00C17416"/>
    <w:rsid w:val="00C1748F"/>
    <w:rsid w:val="00C21774"/>
    <w:rsid w:val="00C218AD"/>
    <w:rsid w:val="00C221D5"/>
    <w:rsid w:val="00C2280A"/>
    <w:rsid w:val="00C252A2"/>
    <w:rsid w:val="00C2652B"/>
    <w:rsid w:val="00C274E0"/>
    <w:rsid w:val="00C30598"/>
    <w:rsid w:val="00C346C7"/>
    <w:rsid w:val="00C373FB"/>
    <w:rsid w:val="00C41E61"/>
    <w:rsid w:val="00C45075"/>
    <w:rsid w:val="00C45C85"/>
    <w:rsid w:val="00C515CA"/>
    <w:rsid w:val="00C533E6"/>
    <w:rsid w:val="00C555E0"/>
    <w:rsid w:val="00C56730"/>
    <w:rsid w:val="00C6024F"/>
    <w:rsid w:val="00C60CE3"/>
    <w:rsid w:val="00C62464"/>
    <w:rsid w:val="00C63D95"/>
    <w:rsid w:val="00C64B94"/>
    <w:rsid w:val="00C65104"/>
    <w:rsid w:val="00C72048"/>
    <w:rsid w:val="00C72B12"/>
    <w:rsid w:val="00C739BF"/>
    <w:rsid w:val="00C747DF"/>
    <w:rsid w:val="00C74F44"/>
    <w:rsid w:val="00C768C1"/>
    <w:rsid w:val="00C76C24"/>
    <w:rsid w:val="00C80128"/>
    <w:rsid w:val="00C80E3F"/>
    <w:rsid w:val="00C820AF"/>
    <w:rsid w:val="00C87539"/>
    <w:rsid w:val="00C90663"/>
    <w:rsid w:val="00C93DCA"/>
    <w:rsid w:val="00CA071B"/>
    <w:rsid w:val="00CA5466"/>
    <w:rsid w:val="00CA591D"/>
    <w:rsid w:val="00CA734B"/>
    <w:rsid w:val="00CB0475"/>
    <w:rsid w:val="00CB0F1C"/>
    <w:rsid w:val="00CB2C4F"/>
    <w:rsid w:val="00CB3583"/>
    <w:rsid w:val="00CB6A8C"/>
    <w:rsid w:val="00CB74C6"/>
    <w:rsid w:val="00CC34FF"/>
    <w:rsid w:val="00CC3E10"/>
    <w:rsid w:val="00CC44F0"/>
    <w:rsid w:val="00CC4EC7"/>
    <w:rsid w:val="00CC64B9"/>
    <w:rsid w:val="00CC7D51"/>
    <w:rsid w:val="00CD0E5B"/>
    <w:rsid w:val="00CD0FE9"/>
    <w:rsid w:val="00CD396E"/>
    <w:rsid w:val="00CD5104"/>
    <w:rsid w:val="00CD6046"/>
    <w:rsid w:val="00CD75A7"/>
    <w:rsid w:val="00CE00AD"/>
    <w:rsid w:val="00CE06A5"/>
    <w:rsid w:val="00CE202E"/>
    <w:rsid w:val="00CE2229"/>
    <w:rsid w:val="00CE374E"/>
    <w:rsid w:val="00CF0534"/>
    <w:rsid w:val="00CF3FF0"/>
    <w:rsid w:val="00CF41AF"/>
    <w:rsid w:val="00CF4567"/>
    <w:rsid w:val="00CF53AB"/>
    <w:rsid w:val="00CF563D"/>
    <w:rsid w:val="00CF6815"/>
    <w:rsid w:val="00D0067F"/>
    <w:rsid w:val="00D01C3C"/>
    <w:rsid w:val="00D03636"/>
    <w:rsid w:val="00D04D3D"/>
    <w:rsid w:val="00D111F6"/>
    <w:rsid w:val="00D11B02"/>
    <w:rsid w:val="00D1202C"/>
    <w:rsid w:val="00D12617"/>
    <w:rsid w:val="00D16DDF"/>
    <w:rsid w:val="00D16E24"/>
    <w:rsid w:val="00D20486"/>
    <w:rsid w:val="00D228D8"/>
    <w:rsid w:val="00D230A7"/>
    <w:rsid w:val="00D23E9A"/>
    <w:rsid w:val="00D24685"/>
    <w:rsid w:val="00D275CE"/>
    <w:rsid w:val="00D31439"/>
    <w:rsid w:val="00D331B6"/>
    <w:rsid w:val="00D33677"/>
    <w:rsid w:val="00D33DCA"/>
    <w:rsid w:val="00D34934"/>
    <w:rsid w:val="00D373EC"/>
    <w:rsid w:val="00D4180D"/>
    <w:rsid w:val="00D42875"/>
    <w:rsid w:val="00D42B44"/>
    <w:rsid w:val="00D44A14"/>
    <w:rsid w:val="00D47738"/>
    <w:rsid w:val="00D51A9B"/>
    <w:rsid w:val="00D51D95"/>
    <w:rsid w:val="00D53EC6"/>
    <w:rsid w:val="00D55195"/>
    <w:rsid w:val="00D55A00"/>
    <w:rsid w:val="00D56F77"/>
    <w:rsid w:val="00D61E9F"/>
    <w:rsid w:val="00D62CC8"/>
    <w:rsid w:val="00D6402F"/>
    <w:rsid w:val="00D7047A"/>
    <w:rsid w:val="00D719E9"/>
    <w:rsid w:val="00D72225"/>
    <w:rsid w:val="00D73550"/>
    <w:rsid w:val="00D77321"/>
    <w:rsid w:val="00D77F5D"/>
    <w:rsid w:val="00D827A2"/>
    <w:rsid w:val="00D838F7"/>
    <w:rsid w:val="00D8479E"/>
    <w:rsid w:val="00D86443"/>
    <w:rsid w:val="00D868F1"/>
    <w:rsid w:val="00D87EFF"/>
    <w:rsid w:val="00D91AE6"/>
    <w:rsid w:val="00D929F2"/>
    <w:rsid w:val="00D941E0"/>
    <w:rsid w:val="00D95840"/>
    <w:rsid w:val="00DA0511"/>
    <w:rsid w:val="00DA554C"/>
    <w:rsid w:val="00DA5F07"/>
    <w:rsid w:val="00DB0B68"/>
    <w:rsid w:val="00DB2BD1"/>
    <w:rsid w:val="00DB42FB"/>
    <w:rsid w:val="00DB672D"/>
    <w:rsid w:val="00DB7AEE"/>
    <w:rsid w:val="00DC39C4"/>
    <w:rsid w:val="00DC4019"/>
    <w:rsid w:val="00DC4568"/>
    <w:rsid w:val="00DC7948"/>
    <w:rsid w:val="00DD0941"/>
    <w:rsid w:val="00DD0F68"/>
    <w:rsid w:val="00DD1C47"/>
    <w:rsid w:val="00DD5BA2"/>
    <w:rsid w:val="00DD6B5E"/>
    <w:rsid w:val="00DE21B1"/>
    <w:rsid w:val="00DE4BF6"/>
    <w:rsid w:val="00DE69D0"/>
    <w:rsid w:val="00DE7070"/>
    <w:rsid w:val="00DE77A3"/>
    <w:rsid w:val="00DF02F6"/>
    <w:rsid w:val="00DF21B8"/>
    <w:rsid w:val="00DF31EE"/>
    <w:rsid w:val="00DF3395"/>
    <w:rsid w:val="00DF7681"/>
    <w:rsid w:val="00E0122B"/>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1BCE"/>
    <w:rsid w:val="00E34E73"/>
    <w:rsid w:val="00E375C8"/>
    <w:rsid w:val="00E40F9A"/>
    <w:rsid w:val="00E4302B"/>
    <w:rsid w:val="00E45011"/>
    <w:rsid w:val="00E528AF"/>
    <w:rsid w:val="00E53131"/>
    <w:rsid w:val="00E5518E"/>
    <w:rsid w:val="00E56222"/>
    <w:rsid w:val="00E566D8"/>
    <w:rsid w:val="00E57743"/>
    <w:rsid w:val="00E577C9"/>
    <w:rsid w:val="00E57A97"/>
    <w:rsid w:val="00E60766"/>
    <w:rsid w:val="00E62C06"/>
    <w:rsid w:val="00E62DD3"/>
    <w:rsid w:val="00E66D8F"/>
    <w:rsid w:val="00E6742D"/>
    <w:rsid w:val="00E71707"/>
    <w:rsid w:val="00E71EF1"/>
    <w:rsid w:val="00E731C6"/>
    <w:rsid w:val="00E740C4"/>
    <w:rsid w:val="00E74686"/>
    <w:rsid w:val="00E74750"/>
    <w:rsid w:val="00E7601F"/>
    <w:rsid w:val="00E76686"/>
    <w:rsid w:val="00E80520"/>
    <w:rsid w:val="00E81BD0"/>
    <w:rsid w:val="00E83490"/>
    <w:rsid w:val="00E83C98"/>
    <w:rsid w:val="00E840FE"/>
    <w:rsid w:val="00E84DBD"/>
    <w:rsid w:val="00E84ED0"/>
    <w:rsid w:val="00E879C6"/>
    <w:rsid w:val="00E9128A"/>
    <w:rsid w:val="00E916D8"/>
    <w:rsid w:val="00E91C15"/>
    <w:rsid w:val="00E943E8"/>
    <w:rsid w:val="00E945CE"/>
    <w:rsid w:val="00E948FE"/>
    <w:rsid w:val="00E94FAF"/>
    <w:rsid w:val="00E965CD"/>
    <w:rsid w:val="00E9724F"/>
    <w:rsid w:val="00EA0528"/>
    <w:rsid w:val="00EA347E"/>
    <w:rsid w:val="00EA38B4"/>
    <w:rsid w:val="00EA433F"/>
    <w:rsid w:val="00EA4E02"/>
    <w:rsid w:val="00EA6276"/>
    <w:rsid w:val="00EB048C"/>
    <w:rsid w:val="00EB2C67"/>
    <w:rsid w:val="00EB2DE2"/>
    <w:rsid w:val="00EB367C"/>
    <w:rsid w:val="00EB43BA"/>
    <w:rsid w:val="00EB4429"/>
    <w:rsid w:val="00EB46D0"/>
    <w:rsid w:val="00EB4700"/>
    <w:rsid w:val="00EB7F72"/>
    <w:rsid w:val="00EC2112"/>
    <w:rsid w:val="00EC29E1"/>
    <w:rsid w:val="00EC37AF"/>
    <w:rsid w:val="00EC4357"/>
    <w:rsid w:val="00EC45F7"/>
    <w:rsid w:val="00EC49A4"/>
    <w:rsid w:val="00EC4EF3"/>
    <w:rsid w:val="00EC5381"/>
    <w:rsid w:val="00EC5522"/>
    <w:rsid w:val="00ED20C9"/>
    <w:rsid w:val="00ED21EE"/>
    <w:rsid w:val="00ED272D"/>
    <w:rsid w:val="00ED3005"/>
    <w:rsid w:val="00ED37E1"/>
    <w:rsid w:val="00ED3B31"/>
    <w:rsid w:val="00ED4EC4"/>
    <w:rsid w:val="00ED6C04"/>
    <w:rsid w:val="00ED7D3D"/>
    <w:rsid w:val="00EE4094"/>
    <w:rsid w:val="00EE4C9D"/>
    <w:rsid w:val="00EE4D57"/>
    <w:rsid w:val="00EE53FF"/>
    <w:rsid w:val="00EE5460"/>
    <w:rsid w:val="00EE5E83"/>
    <w:rsid w:val="00EE7092"/>
    <w:rsid w:val="00EF1743"/>
    <w:rsid w:val="00EF1B5A"/>
    <w:rsid w:val="00EF2F5C"/>
    <w:rsid w:val="00EF35F3"/>
    <w:rsid w:val="00EF3A92"/>
    <w:rsid w:val="00EF4305"/>
    <w:rsid w:val="00EF60F4"/>
    <w:rsid w:val="00EF65C1"/>
    <w:rsid w:val="00EF7590"/>
    <w:rsid w:val="00F01A0C"/>
    <w:rsid w:val="00F023FB"/>
    <w:rsid w:val="00F024CA"/>
    <w:rsid w:val="00F0354F"/>
    <w:rsid w:val="00F0458B"/>
    <w:rsid w:val="00F06833"/>
    <w:rsid w:val="00F1013F"/>
    <w:rsid w:val="00F10A99"/>
    <w:rsid w:val="00F138A2"/>
    <w:rsid w:val="00F143CD"/>
    <w:rsid w:val="00F154EB"/>
    <w:rsid w:val="00F20632"/>
    <w:rsid w:val="00F23738"/>
    <w:rsid w:val="00F2392E"/>
    <w:rsid w:val="00F30846"/>
    <w:rsid w:val="00F30878"/>
    <w:rsid w:val="00F30CAB"/>
    <w:rsid w:val="00F32479"/>
    <w:rsid w:val="00F327DF"/>
    <w:rsid w:val="00F33121"/>
    <w:rsid w:val="00F33769"/>
    <w:rsid w:val="00F33CDC"/>
    <w:rsid w:val="00F3568A"/>
    <w:rsid w:val="00F35B05"/>
    <w:rsid w:val="00F36DEB"/>
    <w:rsid w:val="00F406FD"/>
    <w:rsid w:val="00F414D0"/>
    <w:rsid w:val="00F434DF"/>
    <w:rsid w:val="00F4532C"/>
    <w:rsid w:val="00F4712C"/>
    <w:rsid w:val="00F47D9D"/>
    <w:rsid w:val="00F50393"/>
    <w:rsid w:val="00F50558"/>
    <w:rsid w:val="00F50A8E"/>
    <w:rsid w:val="00F51F6D"/>
    <w:rsid w:val="00F52372"/>
    <w:rsid w:val="00F5238B"/>
    <w:rsid w:val="00F52572"/>
    <w:rsid w:val="00F542B7"/>
    <w:rsid w:val="00F54D2F"/>
    <w:rsid w:val="00F55847"/>
    <w:rsid w:val="00F57142"/>
    <w:rsid w:val="00F5756D"/>
    <w:rsid w:val="00F6049A"/>
    <w:rsid w:val="00F62877"/>
    <w:rsid w:val="00F628B1"/>
    <w:rsid w:val="00F630A2"/>
    <w:rsid w:val="00F63E1C"/>
    <w:rsid w:val="00F652AB"/>
    <w:rsid w:val="00F65942"/>
    <w:rsid w:val="00F72AA0"/>
    <w:rsid w:val="00F72C83"/>
    <w:rsid w:val="00F739F5"/>
    <w:rsid w:val="00F766DA"/>
    <w:rsid w:val="00F76A40"/>
    <w:rsid w:val="00F803C7"/>
    <w:rsid w:val="00F80C07"/>
    <w:rsid w:val="00F81A9C"/>
    <w:rsid w:val="00F83BDC"/>
    <w:rsid w:val="00F87264"/>
    <w:rsid w:val="00F908E9"/>
    <w:rsid w:val="00F91295"/>
    <w:rsid w:val="00F91FB2"/>
    <w:rsid w:val="00F92012"/>
    <w:rsid w:val="00F94809"/>
    <w:rsid w:val="00F96C94"/>
    <w:rsid w:val="00FA29AE"/>
    <w:rsid w:val="00FA2B8F"/>
    <w:rsid w:val="00FA47E6"/>
    <w:rsid w:val="00FA56D6"/>
    <w:rsid w:val="00FA595F"/>
    <w:rsid w:val="00FA69F6"/>
    <w:rsid w:val="00FA6C24"/>
    <w:rsid w:val="00FB0B57"/>
    <w:rsid w:val="00FB21C0"/>
    <w:rsid w:val="00FB651A"/>
    <w:rsid w:val="00FC0CB3"/>
    <w:rsid w:val="00FC2999"/>
    <w:rsid w:val="00FC3A56"/>
    <w:rsid w:val="00FC60D3"/>
    <w:rsid w:val="00FC765F"/>
    <w:rsid w:val="00FC781D"/>
    <w:rsid w:val="00FD1861"/>
    <w:rsid w:val="00FD314A"/>
    <w:rsid w:val="00FD5375"/>
    <w:rsid w:val="00FD61A3"/>
    <w:rsid w:val="00FD66C9"/>
    <w:rsid w:val="00FD79F6"/>
    <w:rsid w:val="00FE01A3"/>
    <w:rsid w:val="00FE0371"/>
    <w:rsid w:val="00FE1258"/>
    <w:rsid w:val="00FE31D0"/>
    <w:rsid w:val="00FE3581"/>
    <w:rsid w:val="00FE7A3F"/>
    <w:rsid w:val="00FF00C9"/>
    <w:rsid w:val="00FF0A6F"/>
    <w:rsid w:val="00FF12C2"/>
    <w:rsid w:val="00FF19E4"/>
    <w:rsid w:val="00FF34FF"/>
    <w:rsid w:val="00FF3518"/>
    <w:rsid w:val="00FF4E87"/>
    <w:rsid w:val="00FF52BF"/>
    <w:rsid w:val="00FF5330"/>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7DEFC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72C5"/>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3D0F5B"/>
    <w:pPr>
      <w:ind w:left="720"/>
      <w:contextualSpacing/>
    </w:pPr>
  </w:style>
  <w:style w:type="character" w:customStyle="1" w:styleId="Heading2Char">
    <w:name w:val="Heading 2 Char"/>
    <w:basedOn w:val="DefaultParagraphFont"/>
    <w:link w:val="Heading2"/>
    <w:rsid w:val="005123E9"/>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72C5"/>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3D0F5B"/>
    <w:pPr>
      <w:ind w:left="720"/>
      <w:contextualSpacing/>
    </w:pPr>
  </w:style>
  <w:style w:type="character" w:customStyle="1" w:styleId="Heading2Char">
    <w:name w:val="Heading 2 Char"/>
    <w:basedOn w:val="DefaultParagraphFont"/>
    <w:link w:val="Heading2"/>
    <w:rsid w:val="005123E9"/>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40582">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3328146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977797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8" Type="http://schemas.openxmlformats.org/officeDocument/2006/relationships/hyperlink" Target="http://www.energy.ca.gov/title24/2013standards/prerulemaking/documents/current/Reports/Nonresidential/HVAC/2013_CASE_WH4_Space-and-WaterHeating_10.28.2011.pdf" TargetMode="External"/><Relationship Id="rId3" Type="http://schemas.openxmlformats.org/officeDocument/2006/relationships/hyperlink" Target="http://www.energy.ca.gov/title24/2013standards/" TargetMode="External"/><Relationship Id="rId7" Type="http://schemas.openxmlformats.org/officeDocument/2006/relationships/hyperlink" Target="http://www.energy.ca.gov/title24/2013standards/prerulemaking/documents/current/Reports/Nonresidential/HVAC/2013_CASE_WH4_Space-and-WaterHeating_10.28.2011.pdf" TargetMode="External"/><Relationship Id="rId2" Type="http://schemas.openxmlformats.org/officeDocument/2006/relationships/hyperlink" Target="http://www.energy.ca.gov/appliances/" TargetMode="External"/><Relationship Id="rId1" Type="http://schemas.openxmlformats.org/officeDocument/2006/relationships/hyperlink" Target="http://www.deeresources.com/" TargetMode="External"/><Relationship Id="rId6" Type="http://schemas.openxmlformats.org/officeDocument/2006/relationships/hyperlink" Target="http://www.energy.ca.gov/2006publications/CEC-400-2006-005/CEC-400-2006-005.PDF" TargetMode="External"/><Relationship Id="rId5" Type="http://schemas.openxmlformats.org/officeDocument/2006/relationships/hyperlink" Target="http://www.energy.ca.gov/title24/2013standards/prerulemaking/documents/current/Reports/Nonresidential/Lighting_Controls_Bldg_Power/2013_CASE_NR_Guest_Room_Occupancy_Controls_Oct_2011.pdf" TargetMode="External"/><Relationship Id="rId4" Type="http://schemas.openxmlformats.org/officeDocument/2006/relationships/hyperlink" Target="http://www.energy.ca.gov/2010publications/CEC-200-2010-004/CEC-200-2010-004-V2.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608203BC-FCDB-4C21-BA9D-A8284384C4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3ED2C2-C6CB-49D5-9A02-2F2707C7C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8C9B1C2-F62D-4E88-B809-FAE69D0AF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1768</TotalTime>
  <Pages>1</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19305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27</cp:revision>
  <cp:lastPrinted>2014-06-26T23:22:00Z</cp:lastPrinted>
  <dcterms:created xsi:type="dcterms:W3CDTF">2016-05-31T22:27:00Z</dcterms:created>
  <dcterms:modified xsi:type="dcterms:W3CDTF">2017-05-02T18:07:00Z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1645800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